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C4" w:rsidRPr="00AD4F05" w:rsidRDefault="006544C4" w:rsidP="003242D3">
      <w:pPr>
        <w:jc w:val="center"/>
        <w:rPr>
          <w:lang w:val="fr-FR"/>
        </w:rPr>
      </w:pPr>
      <w:bookmarkStart w:id="0" w:name="_GoBack"/>
      <w:bookmarkEnd w:id="0"/>
    </w:p>
    <w:p w:rsidR="006544C4" w:rsidRPr="00AD4F05" w:rsidRDefault="006544C4" w:rsidP="003242D3">
      <w:pPr>
        <w:jc w:val="center"/>
        <w:rPr>
          <w:lang w:val="fr-FR"/>
        </w:rPr>
      </w:pPr>
    </w:p>
    <w:p w:rsidR="006544C4" w:rsidRPr="00AD4F05" w:rsidRDefault="003242D3" w:rsidP="003242D3">
      <w:pPr>
        <w:pStyle w:val="DecHTitle"/>
        <w:rPr>
          <w:lang w:val="fr-FR"/>
        </w:rPr>
      </w:pPr>
      <w:r>
        <w:rPr>
          <w:szCs w:val="24"/>
          <w:lang w:val="fr-FR"/>
        </w:rPr>
        <w:t>PREMIÈRE SECTION</w:t>
      </w:r>
    </w:p>
    <w:p w:rsidR="006544C4" w:rsidRPr="00AD4F05" w:rsidRDefault="006544C4" w:rsidP="003242D3">
      <w:pPr>
        <w:pStyle w:val="DecHTitle"/>
        <w:rPr>
          <w:caps/>
          <w:sz w:val="32"/>
          <w:lang w:val="fr-FR"/>
        </w:rPr>
      </w:pPr>
      <w:r w:rsidRPr="00AD4F05">
        <w:rPr>
          <w:lang w:val="fr-FR"/>
        </w:rPr>
        <w:t>DÉCISION</w:t>
      </w:r>
    </w:p>
    <w:p w:rsidR="006544C4" w:rsidRPr="00AD4F05" w:rsidRDefault="003242D3" w:rsidP="003242D3">
      <w:pPr>
        <w:pStyle w:val="ECHRTitleCentre2"/>
        <w:rPr>
          <w:lang w:val="fr-FR"/>
        </w:rPr>
      </w:pPr>
      <w:r w:rsidRPr="00AD4F05">
        <w:rPr>
          <w:lang w:val="fr-FR"/>
        </w:rPr>
        <w:t>Requête n</w:t>
      </w:r>
      <w:r w:rsidRPr="00AD4F05">
        <w:rPr>
          <w:vertAlign w:val="superscript"/>
          <w:lang w:val="fr-FR"/>
        </w:rPr>
        <w:t>o</w:t>
      </w:r>
      <w:r w:rsidR="006544C4" w:rsidRPr="00AD4F05">
        <w:rPr>
          <w:lang w:val="fr-FR"/>
        </w:rPr>
        <w:t xml:space="preserve"> </w:t>
      </w:r>
      <w:r>
        <w:rPr>
          <w:lang w:val="fr-FR"/>
        </w:rPr>
        <w:t>63426/13</w:t>
      </w:r>
      <w:r w:rsidR="006544C4" w:rsidRPr="00AD4F05">
        <w:rPr>
          <w:lang w:val="fr-FR"/>
        </w:rPr>
        <w:br/>
      </w:r>
      <w:r>
        <w:rPr>
          <w:lang w:val="fr-FR"/>
        </w:rPr>
        <w:t>Mihail-Alin</w:t>
      </w:r>
      <w:r w:rsidRPr="00AD4F05">
        <w:rPr>
          <w:lang w:val="fr-FR"/>
        </w:rPr>
        <w:t xml:space="preserve"> </w:t>
      </w:r>
      <w:r>
        <w:rPr>
          <w:lang w:val="fr-FR"/>
        </w:rPr>
        <w:t>PODOLEANU</w:t>
      </w:r>
      <w:r w:rsidRPr="00AD4F05">
        <w:rPr>
          <w:lang w:val="fr-FR"/>
        </w:rPr>
        <w:br/>
      </w:r>
      <w:r w:rsidR="006544C4" w:rsidRPr="00AD4F05">
        <w:rPr>
          <w:lang w:val="fr-FR"/>
        </w:rPr>
        <w:t xml:space="preserve">contre </w:t>
      </w:r>
      <w:r w:rsidRPr="00AD4F05">
        <w:rPr>
          <w:lang w:val="fr-FR"/>
        </w:rPr>
        <w:t>l</w:t>
      </w:r>
      <w:r w:rsidR="0065181A">
        <w:rPr>
          <w:lang w:val="fr-FR"/>
        </w:rPr>
        <w:t>’</w:t>
      </w:r>
      <w:r>
        <w:rPr>
          <w:lang w:val="fr-FR"/>
        </w:rPr>
        <w:t>Italie</w:t>
      </w:r>
    </w:p>
    <w:p w:rsidR="003242D3" w:rsidRPr="00E21176" w:rsidRDefault="003242D3" w:rsidP="003242D3">
      <w:pPr>
        <w:pStyle w:val="ECHRPara"/>
        <w:rPr>
          <w:lang w:val="fr-FR"/>
        </w:rPr>
      </w:pPr>
      <w:r w:rsidRPr="00E21176">
        <w:rPr>
          <w:lang w:val="fr-FR"/>
        </w:rPr>
        <w:t>La Cour européenne des droits de l</w:t>
      </w:r>
      <w:r w:rsidR="0065181A">
        <w:rPr>
          <w:lang w:val="fr-FR"/>
        </w:rPr>
        <w:t>’</w:t>
      </w:r>
      <w:r w:rsidRPr="00E21176">
        <w:rPr>
          <w:lang w:val="fr-FR"/>
        </w:rPr>
        <w:t>homme (</w:t>
      </w:r>
      <w:r>
        <w:rPr>
          <w:lang w:val="fr-FR"/>
        </w:rPr>
        <w:t>première section</w:t>
      </w:r>
      <w:r w:rsidRPr="00E21176">
        <w:rPr>
          <w:lang w:val="fr-FR"/>
        </w:rPr>
        <w:t xml:space="preserve">), siégeant le </w:t>
      </w:r>
      <w:r>
        <w:rPr>
          <w:lang w:val="fr-FR"/>
        </w:rPr>
        <w:t xml:space="preserve">8 décembre 2015 </w:t>
      </w:r>
      <w:r w:rsidRPr="00E21176">
        <w:rPr>
          <w:lang w:val="fr-FR"/>
        </w:rPr>
        <w:t xml:space="preserve">en une </w:t>
      </w:r>
      <w:r>
        <w:rPr>
          <w:lang w:val="fr-FR"/>
        </w:rPr>
        <w:t>Chambre</w:t>
      </w:r>
      <w:r w:rsidRPr="00E21176">
        <w:rPr>
          <w:lang w:val="fr-FR"/>
        </w:rPr>
        <w:t xml:space="preserve"> composée de :</w:t>
      </w:r>
    </w:p>
    <w:p w:rsidR="003242D3" w:rsidRPr="003242D3" w:rsidRDefault="003242D3" w:rsidP="0065181A">
      <w:pPr>
        <w:pStyle w:val="ECHRDecisionBody"/>
        <w:rPr>
          <w:lang w:val="fr-FR"/>
        </w:rPr>
      </w:pPr>
      <w:r w:rsidRPr="003242D3">
        <w:rPr>
          <w:lang w:val="fr-FR"/>
        </w:rPr>
        <w:tab/>
        <w:t>Mirjana Lazarova Trajkovska,</w:t>
      </w:r>
      <w:r w:rsidRPr="003242D3">
        <w:rPr>
          <w:i/>
          <w:lang w:val="fr-FR"/>
        </w:rPr>
        <w:t xml:space="preserve"> présidente,</w:t>
      </w:r>
      <w:r w:rsidRPr="003242D3">
        <w:rPr>
          <w:i/>
          <w:lang w:val="fr-FR"/>
        </w:rPr>
        <w:br/>
      </w:r>
      <w:r w:rsidRPr="003242D3">
        <w:rPr>
          <w:lang w:val="fr-FR"/>
        </w:rPr>
        <w:tab/>
        <w:t>Guido Raimondi,</w:t>
      </w:r>
      <w:r w:rsidRPr="003242D3">
        <w:rPr>
          <w:i/>
          <w:lang w:val="fr-FR"/>
        </w:rPr>
        <w:br/>
      </w:r>
      <w:r w:rsidRPr="003242D3">
        <w:rPr>
          <w:lang w:val="fr-FR"/>
        </w:rPr>
        <w:tab/>
        <w:t>Kristina Pardalos,</w:t>
      </w:r>
      <w:r w:rsidRPr="003242D3">
        <w:rPr>
          <w:i/>
          <w:lang w:val="fr-FR"/>
        </w:rPr>
        <w:br/>
      </w:r>
      <w:r w:rsidRPr="003242D3">
        <w:rPr>
          <w:lang w:val="fr-FR"/>
        </w:rPr>
        <w:tab/>
        <w:t>Linos-Alexandre Sicilianos,</w:t>
      </w:r>
      <w:r w:rsidRPr="003242D3">
        <w:rPr>
          <w:i/>
          <w:lang w:val="fr-FR"/>
        </w:rPr>
        <w:br/>
      </w:r>
      <w:r w:rsidRPr="003242D3">
        <w:rPr>
          <w:lang w:val="fr-FR"/>
        </w:rPr>
        <w:tab/>
        <w:t>Paul Mahoney,</w:t>
      </w:r>
      <w:r w:rsidRPr="003242D3">
        <w:rPr>
          <w:i/>
          <w:lang w:val="fr-FR"/>
        </w:rPr>
        <w:br/>
      </w:r>
      <w:r w:rsidRPr="003242D3">
        <w:rPr>
          <w:lang w:val="fr-FR"/>
        </w:rPr>
        <w:tab/>
        <w:t>Aleš Pejchal,</w:t>
      </w:r>
      <w:r w:rsidRPr="003242D3">
        <w:rPr>
          <w:i/>
          <w:lang w:val="fr-FR"/>
        </w:rPr>
        <w:br/>
      </w:r>
      <w:r w:rsidRPr="003242D3">
        <w:rPr>
          <w:lang w:val="fr-FR"/>
        </w:rPr>
        <w:tab/>
        <w:t>Robert Spano,</w:t>
      </w:r>
      <w:r w:rsidRPr="003242D3">
        <w:rPr>
          <w:i/>
          <w:lang w:val="fr-FR"/>
        </w:rPr>
        <w:t xml:space="preserve"> juges,</w:t>
      </w:r>
    </w:p>
    <w:p w:rsidR="003242D3" w:rsidRPr="00E21176" w:rsidRDefault="003242D3" w:rsidP="0065181A">
      <w:pPr>
        <w:pStyle w:val="ECHRDecisionBody"/>
        <w:rPr>
          <w:lang w:val="fr-FR"/>
        </w:rPr>
      </w:pPr>
      <w:r w:rsidRPr="00E21176">
        <w:rPr>
          <w:lang w:val="fr-FR"/>
        </w:rPr>
        <w:t xml:space="preserve">et de </w:t>
      </w:r>
      <w:r>
        <w:rPr>
          <w:lang w:val="fr-FR"/>
        </w:rPr>
        <w:t>André Wampach</w:t>
      </w:r>
      <w:r w:rsidRPr="00E21176">
        <w:rPr>
          <w:lang w:val="fr-FR"/>
        </w:rPr>
        <w:t xml:space="preserve">, </w:t>
      </w:r>
      <w:r w:rsidRPr="00E21176">
        <w:rPr>
          <w:i/>
          <w:lang w:val="fr-FR"/>
        </w:rPr>
        <w:t>greffie</w:t>
      </w:r>
      <w:r>
        <w:rPr>
          <w:i/>
          <w:lang w:val="fr-FR"/>
        </w:rPr>
        <w:t>r</w:t>
      </w:r>
      <w:r w:rsidRPr="00E21176">
        <w:rPr>
          <w:i/>
          <w:iCs/>
          <w:lang w:val="fr-FR"/>
        </w:rPr>
        <w:t xml:space="preserve"> </w:t>
      </w:r>
      <w:r>
        <w:rPr>
          <w:i/>
          <w:iCs/>
          <w:lang w:val="fr-FR"/>
        </w:rPr>
        <w:t xml:space="preserve">adjoint </w:t>
      </w:r>
      <w:r w:rsidRPr="00E21176">
        <w:rPr>
          <w:i/>
          <w:iCs/>
          <w:lang w:val="fr-FR"/>
        </w:rPr>
        <w:t>d</w:t>
      </w:r>
      <w:r w:rsidRPr="00E21176">
        <w:rPr>
          <w:i/>
          <w:lang w:val="fr-FR"/>
        </w:rPr>
        <w:t>e section,</w:t>
      </w:r>
    </w:p>
    <w:p w:rsidR="003242D3" w:rsidRPr="00E21176" w:rsidRDefault="003242D3" w:rsidP="003242D3">
      <w:pPr>
        <w:pStyle w:val="ECHRPara"/>
        <w:rPr>
          <w:lang w:val="fr-FR"/>
        </w:rPr>
      </w:pPr>
      <w:r w:rsidRPr="00E21176">
        <w:rPr>
          <w:lang w:val="fr-FR"/>
        </w:rPr>
        <w:t xml:space="preserve">Vu la requête susmentionnée introduite le </w:t>
      </w:r>
      <w:r>
        <w:rPr>
          <w:lang w:val="fr-FR"/>
        </w:rPr>
        <w:t>12 août 2013</w:t>
      </w:r>
      <w:r w:rsidRPr="00E21176">
        <w:rPr>
          <w:lang w:val="fr-FR"/>
        </w:rPr>
        <w:t>,</w:t>
      </w:r>
    </w:p>
    <w:p w:rsidR="003242D3" w:rsidRPr="00E21176" w:rsidRDefault="003242D3" w:rsidP="003242D3">
      <w:pPr>
        <w:pStyle w:val="ECHRPara"/>
        <w:rPr>
          <w:color w:val="000000"/>
          <w:lang w:val="fr-FR"/>
        </w:rPr>
      </w:pPr>
      <w:r w:rsidRPr="00E21176">
        <w:rPr>
          <w:lang w:val="fr-FR"/>
        </w:rPr>
        <w:t>Après en avoir délibéré, rend la décision suivante :</w:t>
      </w:r>
    </w:p>
    <w:p w:rsidR="003242D3" w:rsidRPr="00E21176" w:rsidRDefault="003242D3" w:rsidP="003242D3">
      <w:pPr>
        <w:pStyle w:val="ECHRTitle1"/>
        <w:rPr>
          <w:lang w:val="fr-FR"/>
        </w:rPr>
      </w:pPr>
      <w:r w:rsidRPr="00E21176">
        <w:rPr>
          <w:lang w:val="fr-FR"/>
        </w:rPr>
        <w:t>EN FAIT</w:t>
      </w:r>
    </w:p>
    <w:p w:rsidR="003242D3" w:rsidRPr="00E21176" w:rsidRDefault="003242D3" w:rsidP="003242D3">
      <w:pPr>
        <w:pStyle w:val="ECHRPara"/>
        <w:rPr>
          <w:lang w:val="fr-FR"/>
        </w:rPr>
      </w:pPr>
      <w:r>
        <w:rPr>
          <w:lang w:val="fr-FR"/>
        </w:rPr>
        <w:t>1.  </w:t>
      </w:r>
      <w:r w:rsidRPr="00E21176">
        <w:rPr>
          <w:lang w:val="fr-FR"/>
        </w:rPr>
        <w:t xml:space="preserve">Le requérant, </w:t>
      </w:r>
      <w:r>
        <w:rPr>
          <w:lang w:val="fr-FR"/>
        </w:rPr>
        <w:t>M.</w:t>
      </w:r>
      <w:r w:rsidRPr="00E21176">
        <w:rPr>
          <w:lang w:val="fr-FR"/>
        </w:rPr>
        <w:t xml:space="preserve"> </w:t>
      </w:r>
      <w:r>
        <w:rPr>
          <w:lang w:val="fr-FR"/>
        </w:rPr>
        <w:t>Mihail-Alin</w:t>
      </w:r>
      <w:r w:rsidRPr="00E21176">
        <w:rPr>
          <w:lang w:val="fr-FR"/>
        </w:rPr>
        <w:t xml:space="preserve"> </w:t>
      </w:r>
      <w:r>
        <w:rPr>
          <w:lang w:val="fr-FR"/>
        </w:rPr>
        <w:t>Podoleanu</w:t>
      </w:r>
      <w:r w:rsidRPr="00E21176">
        <w:rPr>
          <w:lang w:val="fr-FR"/>
        </w:rPr>
        <w:t xml:space="preserve">, est un ressortissant </w:t>
      </w:r>
      <w:r>
        <w:rPr>
          <w:lang w:val="fr-FR"/>
        </w:rPr>
        <w:t>roumain</w:t>
      </w:r>
      <w:r w:rsidRPr="00E21176">
        <w:rPr>
          <w:lang w:val="fr-FR"/>
        </w:rPr>
        <w:t xml:space="preserve"> né en </w:t>
      </w:r>
      <w:r>
        <w:rPr>
          <w:lang w:val="fr-FR"/>
        </w:rPr>
        <w:t>1988</w:t>
      </w:r>
      <w:r w:rsidRPr="00E21176">
        <w:rPr>
          <w:lang w:val="fr-FR"/>
        </w:rPr>
        <w:t xml:space="preserve"> et </w:t>
      </w:r>
      <w:r>
        <w:rPr>
          <w:lang w:val="fr-FR"/>
        </w:rPr>
        <w:t xml:space="preserve">actuellement </w:t>
      </w:r>
      <w:r w:rsidRPr="00E21176">
        <w:rPr>
          <w:lang w:val="fr-FR"/>
        </w:rPr>
        <w:t xml:space="preserve">détenu </w:t>
      </w:r>
      <w:r>
        <w:rPr>
          <w:lang w:val="fr-FR"/>
        </w:rPr>
        <w:t>au pénitencier</w:t>
      </w:r>
      <w:r w:rsidRPr="00E21176">
        <w:rPr>
          <w:lang w:val="fr-FR"/>
        </w:rPr>
        <w:t xml:space="preserve"> </w:t>
      </w:r>
      <w:r>
        <w:rPr>
          <w:lang w:val="fr-FR"/>
        </w:rPr>
        <w:t>de Milan</w:t>
      </w:r>
      <w:r w:rsidRPr="00E21176">
        <w:rPr>
          <w:lang w:val="fr-FR"/>
        </w:rPr>
        <w:t>. Il a été représenté devant la Cour par M</w:t>
      </w:r>
      <w:r w:rsidRPr="00622416">
        <w:rPr>
          <w:vertAlign w:val="superscript"/>
          <w:lang w:val="fr-FR"/>
        </w:rPr>
        <w:t>e</w:t>
      </w:r>
      <w:r w:rsidRPr="00E21176">
        <w:rPr>
          <w:lang w:val="fr-FR"/>
        </w:rPr>
        <w:t> </w:t>
      </w:r>
      <w:r>
        <w:rPr>
          <w:lang w:val="fr-FR"/>
        </w:rPr>
        <w:t>A.</w:t>
      </w:r>
      <w:r w:rsidRPr="00E21176">
        <w:rPr>
          <w:lang w:val="fr-FR"/>
        </w:rPr>
        <w:t xml:space="preserve"> </w:t>
      </w:r>
      <w:r>
        <w:rPr>
          <w:lang w:val="fr-FR"/>
        </w:rPr>
        <w:t>Baldi</w:t>
      </w:r>
      <w:r w:rsidRPr="00E21176">
        <w:rPr>
          <w:lang w:val="fr-FR"/>
        </w:rPr>
        <w:t>, avocat</w:t>
      </w:r>
      <w:r>
        <w:rPr>
          <w:lang w:val="fr-FR"/>
        </w:rPr>
        <w:t>e</w:t>
      </w:r>
      <w:r w:rsidRPr="00E21176">
        <w:rPr>
          <w:lang w:val="fr-FR"/>
        </w:rPr>
        <w:t xml:space="preserve"> à </w:t>
      </w:r>
      <w:r>
        <w:rPr>
          <w:lang w:val="fr-FR"/>
        </w:rPr>
        <w:t>Tortona (Alessandria)</w:t>
      </w:r>
      <w:r w:rsidRPr="00E21176">
        <w:rPr>
          <w:lang w:val="fr-FR"/>
        </w:rPr>
        <w:t>.</w:t>
      </w:r>
    </w:p>
    <w:p w:rsidR="003242D3" w:rsidRPr="00E21176" w:rsidRDefault="003242D3" w:rsidP="003242D3">
      <w:pPr>
        <w:pStyle w:val="ECHRHeading2"/>
        <w:rPr>
          <w:lang w:val="fr-FR"/>
        </w:rPr>
      </w:pPr>
      <w:r w:rsidRPr="00E21176">
        <w:rPr>
          <w:lang w:val="fr-FR"/>
        </w:rPr>
        <w:t>A.  Les circonstances de l</w:t>
      </w:r>
      <w:r w:rsidR="0065181A">
        <w:rPr>
          <w:lang w:val="fr-FR"/>
        </w:rPr>
        <w:t>’</w:t>
      </w:r>
      <w:r w:rsidRPr="00E21176">
        <w:rPr>
          <w:lang w:val="fr-FR"/>
        </w:rPr>
        <w:t>espèce</w:t>
      </w:r>
    </w:p>
    <w:p w:rsidR="003242D3" w:rsidRDefault="003242D3" w:rsidP="003242D3">
      <w:pPr>
        <w:pStyle w:val="ECHRPara"/>
        <w:rPr>
          <w:lang w:val="fr-FR"/>
        </w:rPr>
      </w:pPr>
      <w:r>
        <w:rPr>
          <w:lang w:val="fr-FR"/>
        </w:rPr>
        <w:t>2.  </w:t>
      </w:r>
      <w:r w:rsidRPr="00E21176">
        <w:rPr>
          <w:lang w:val="fr-FR"/>
        </w:rPr>
        <w:t>Les faits de la cause, tels qu</w:t>
      </w:r>
      <w:r w:rsidR="0065181A">
        <w:rPr>
          <w:lang w:val="fr-FR"/>
        </w:rPr>
        <w:t>’</w:t>
      </w:r>
      <w:r w:rsidRPr="00E21176">
        <w:rPr>
          <w:lang w:val="fr-FR"/>
        </w:rPr>
        <w:t>ils ont été exposés par le requérant, peuvent se résumer comme suit.</w:t>
      </w:r>
    </w:p>
    <w:p w:rsidR="003242D3" w:rsidRDefault="003242D3" w:rsidP="003242D3">
      <w:pPr>
        <w:pStyle w:val="ECHRPara"/>
        <w:rPr>
          <w:lang w:val="fr-FR"/>
        </w:rPr>
      </w:pPr>
      <w:r>
        <w:rPr>
          <w:lang w:val="fr-FR"/>
        </w:rPr>
        <w:t>3.  Le requérant fut accusé de plusieurs vols à main armée. Il fut placé en détention provisoire.</w:t>
      </w:r>
    </w:p>
    <w:p w:rsidR="003242D3" w:rsidRDefault="003242D3" w:rsidP="003242D3">
      <w:pPr>
        <w:pStyle w:val="ECHRHeading3"/>
        <w:rPr>
          <w:lang w:val="fr-FR"/>
        </w:rPr>
      </w:pPr>
      <w:r>
        <w:rPr>
          <w:lang w:val="fr-FR"/>
        </w:rPr>
        <w:lastRenderedPageBreak/>
        <w:t>1.  La procédure de première instance pour le vol à main armée commis à Bereguardo</w:t>
      </w:r>
    </w:p>
    <w:p w:rsidR="003242D3" w:rsidRDefault="003242D3" w:rsidP="003242D3">
      <w:pPr>
        <w:pStyle w:val="ECHRPara"/>
        <w:rPr>
          <w:lang w:val="fr-FR"/>
        </w:rPr>
      </w:pPr>
      <w:r>
        <w:rPr>
          <w:lang w:val="fr-FR"/>
        </w:rPr>
        <w:t>4.  L</w:t>
      </w:r>
      <w:r w:rsidR="0065181A">
        <w:rPr>
          <w:lang w:val="fr-FR"/>
        </w:rPr>
        <w:t>’</w:t>
      </w:r>
      <w:r>
        <w:rPr>
          <w:lang w:val="fr-FR"/>
        </w:rPr>
        <w:t>une de ces procédures concernait les infractions de vol à main armée aggravé, séquestration de personne et port d</w:t>
      </w:r>
      <w:r w:rsidR="0065181A">
        <w:rPr>
          <w:lang w:val="fr-FR"/>
        </w:rPr>
        <w:t>’</w:t>
      </w:r>
      <w:r>
        <w:rPr>
          <w:lang w:val="fr-FR"/>
        </w:rPr>
        <w:t>arme prohibé, que le requérant aurait commises le 30 janvier 2010 dans la commune Bereguardo (Pavie) en complicité avec un certain X et une autre personne.</w:t>
      </w:r>
    </w:p>
    <w:p w:rsidR="003242D3" w:rsidRDefault="003242D3" w:rsidP="003242D3">
      <w:pPr>
        <w:pStyle w:val="ECHRPara"/>
        <w:rPr>
          <w:rFonts w:ascii="Lato" w:hAnsi="Lato" w:hint="eastAsia"/>
          <w:color w:val="0C0C0F"/>
          <w:sz w:val="26"/>
          <w:szCs w:val="26"/>
          <w:lang w:val="fr-FR"/>
        </w:rPr>
      </w:pPr>
      <w:r>
        <w:rPr>
          <w:rFonts w:cstheme="minorHAnsi"/>
          <w:lang w:val="fr-FR"/>
        </w:rPr>
        <w:t>5.  Le 4 juin 2010</w:t>
      </w:r>
      <w:r>
        <w:rPr>
          <w:lang w:val="fr-FR"/>
        </w:rPr>
        <w:t>, à la demande du parquet, le juge des investigations préliminaires (ci-après, le « GIP ») de Pavie adopta la procédure dite de « procès immédiat » (</w:t>
      </w:r>
      <w:r>
        <w:rPr>
          <w:i/>
          <w:lang w:val="fr-FR"/>
        </w:rPr>
        <w:t>giudizio immediato</w:t>
      </w:r>
      <w:r>
        <w:rPr>
          <w:lang w:val="fr-FR"/>
        </w:rPr>
        <w:t>), une démarche simplifiée qui, aux termes de l</w:t>
      </w:r>
      <w:r w:rsidR="0065181A">
        <w:rPr>
          <w:lang w:val="fr-FR"/>
        </w:rPr>
        <w:t>’</w:t>
      </w:r>
      <w:r>
        <w:rPr>
          <w:lang w:val="fr-FR"/>
        </w:rPr>
        <w:t>article 453 du code de procédure pénale (ci-après, le « CPP »), peut être suivie « lorsque la preuve [de la commission de l</w:t>
      </w:r>
      <w:r w:rsidR="0065181A">
        <w:rPr>
          <w:lang w:val="fr-FR"/>
        </w:rPr>
        <w:t>’</w:t>
      </w:r>
      <w:r>
        <w:rPr>
          <w:lang w:val="fr-FR"/>
        </w:rPr>
        <w:t xml:space="preserve">infraction] paraît évidente » </w:t>
      </w:r>
      <w:r w:rsidRPr="002977A3">
        <w:rPr>
          <w:rFonts w:cstheme="minorHAnsi"/>
          <w:szCs w:val="24"/>
          <w:lang w:val="fr-FR"/>
        </w:rPr>
        <w:t>(</w:t>
      </w:r>
      <w:r w:rsidRPr="002977A3">
        <w:rPr>
          <w:rFonts w:cstheme="minorHAnsi"/>
          <w:i/>
          <w:szCs w:val="24"/>
          <w:lang w:val="fr-FR"/>
        </w:rPr>
        <w:t>q</w:t>
      </w:r>
      <w:r w:rsidRPr="002977A3">
        <w:rPr>
          <w:rFonts w:cstheme="minorHAnsi"/>
          <w:i/>
          <w:color w:val="0C0C0F"/>
          <w:szCs w:val="24"/>
          <w:lang w:val="fr-FR"/>
        </w:rPr>
        <w:t>uando la prova appare evidente</w:t>
      </w:r>
      <w:r w:rsidRPr="002977A3">
        <w:rPr>
          <w:rFonts w:cstheme="minorHAnsi"/>
          <w:color w:val="0C0C0F"/>
          <w:szCs w:val="24"/>
          <w:lang w:val="fr-FR"/>
        </w:rPr>
        <w:t>).</w:t>
      </w:r>
    </w:p>
    <w:p w:rsidR="003242D3" w:rsidRDefault="003242D3" w:rsidP="003242D3">
      <w:pPr>
        <w:pStyle w:val="ECHRPara"/>
        <w:rPr>
          <w:lang w:val="fr-FR"/>
        </w:rPr>
      </w:pPr>
      <w:r w:rsidRPr="002977A3">
        <w:rPr>
          <w:rFonts w:cstheme="minorHAnsi"/>
          <w:color w:val="0C0C0F"/>
          <w:szCs w:val="24"/>
          <w:lang w:val="fr-FR"/>
        </w:rPr>
        <w:t xml:space="preserve">6.  Le 22 juin 2010, le requérant demanda </w:t>
      </w:r>
      <w:r w:rsidRPr="002977A3">
        <w:rPr>
          <w:rFonts w:cstheme="minorHAnsi"/>
          <w:szCs w:val="24"/>
          <w:lang w:val="fr-FR"/>
        </w:rPr>
        <w:t>à être jugé selon la</w:t>
      </w:r>
      <w:r>
        <w:rPr>
          <w:lang w:val="fr-FR"/>
        </w:rPr>
        <w:t xml:space="preserve"> procédure abrégée (</w:t>
      </w:r>
      <w:r>
        <w:rPr>
          <w:i/>
          <w:lang w:val="fr-FR"/>
        </w:rPr>
        <w:t>giudizio abbreviato</w:t>
      </w:r>
      <w:r>
        <w:rPr>
          <w:lang w:val="fr-FR"/>
        </w:rPr>
        <w:t xml:space="preserve">), </w:t>
      </w:r>
      <w:r w:rsidRPr="00183752">
        <w:rPr>
          <w:lang w:val="fr-FR"/>
        </w:rPr>
        <w:t>une démarche simplifiée entraînant, en cas de condamnation, une réduction de peine</w:t>
      </w:r>
      <w:r>
        <w:rPr>
          <w:lang w:val="fr-FR"/>
        </w:rPr>
        <w:t xml:space="preserve">. </w:t>
      </w:r>
      <w:r w:rsidRPr="001269BE">
        <w:rPr>
          <w:lang w:val="fr-FR"/>
        </w:rPr>
        <w:t>Elle se fonde sur l</w:t>
      </w:r>
      <w:r w:rsidR="0065181A">
        <w:rPr>
          <w:lang w:val="fr-FR"/>
        </w:rPr>
        <w:t>’</w:t>
      </w:r>
      <w:r w:rsidRPr="001269BE">
        <w:rPr>
          <w:lang w:val="fr-FR"/>
        </w:rPr>
        <w:t>hypothèse que l</w:t>
      </w:r>
      <w:r w:rsidR="0065181A">
        <w:rPr>
          <w:lang w:val="fr-FR"/>
        </w:rPr>
        <w:t>’</w:t>
      </w:r>
      <w:r w:rsidRPr="001269BE">
        <w:rPr>
          <w:lang w:val="fr-FR"/>
        </w:rPr>
        <w:t>affaire peut être tranchée en l</w:t>
      </w:r>
      <w:r w:rsidR="0065181A">
        <w:rPr>
          <w:lang w:val="fr-FR"/>
        </w:rPr>
        <w:t>’</w:t>
      </w:r>
      <w:r w:rsidRPr="001269BE">
        <w:rPr>
          <w:lang w:val="fr-FR"/>
        </w:rPr>
        <w:t>état (</w:t>
      </w:r>
      <w:r w:rsidRPr="001269BE">
        <w:rPr>
          <w:i/>
          <w:lang w:val="fr-FR"/>
        </w:rPr>
        <w:t>allo stato degli atti</w:t>
      </w:r>
      <w:r w:rsidRPr="001269BE">
        <w:rPr>
          <w:lang w:val="fr-FR"/>
        </w:rPr>
        <w:t>) lors de l</w:t>
      </w:r>
      <w:r w:rsidR="0065181A">
        <w:rPr>
          <w:lang w:val="fr-FR"/>
        </w:rPr>
        <w:t>’</w:t>
      </w:r>
      <w:r w:rsidRPr="001269BE">
        <w:rPr>
          <w:lang w:val="fr-FR"/>
        </w:rPr>
        <w:t>audience préliminaire</w:t>
      </w:r>
      <w:r>
        <w:rPr>
          <w:lang w:val="fr-FR"/>
        </w:rPr>
        <w:t> ;</w:t>
      </w:r>
      <w:r w:rsidRPr="001269BE">
        <w:rPr>
          <w:lang w:val="fr-FR"/>
        </w:rPr>
        <w:t xml:space="preserve"> </w:t>
      </w:r>
      <w:r>
        <w:rPr>
          <w:lang w:val="fr-FR"/>
        </w:rPr>
        <w:t>e</w:t>
      </w:r>
      <w:r w:rsidRPr="001269BE">
        <w:rPr>
          <w:lang w:val="fr-FR"/>
        </w:rPr>
        <w:t>n principe, les parties doivent</w:t>
      </w:r>
      <w:r>
        <w:rPr>
          <w:lang w:val="fr-FR"/>
        </w:rPr>
        <w:t xml:space="preserve"> </w:t>
      </w:r>
      <w:r w:rsidRPr="001269BE">
        <w:rPr>
          <w:lang w:val="fr-FR"/>
        </w:rPr>
        <w:t xml:space="preserve">baser </w:t>
      </w:r>
      <w:r>
        <w:rPr>
          <w:lang w:val="fr-FR"/>
        </w:rPr>
        <w:t xml:space="preserve">leurs plaidoiries </w:t>
      </w:r>
      <w:r w:rsidRPr="001269BE">
        <w:rPr>
          <w:lang w:val="fr-FR"/>
        </w:rPr>
        <w:t>sur les pièces figurant dans le dossier du parquet</w:t>
      </w:r>
      <w:r>
        <w:rPr>
          <w:lang w:val="fr-FR"/>
        </w:rPr>
        <w:t xml:space="preserve"> (paragraphes 26-27 ci-après).</w:t>
      </w:r>
    </w:p>
    <w:p w:rsidR="003242D3" w:rsidRDefault="003242D3" w:rsidP="003242D3">
      <w:pPr>
        <w:pStyle w:val="ECHRPara"/>
        <w:rPr>
          <w:lang w:val="fr-FR"/>
        </w:rPr>
      </w:pPr>
      <w:r>
        <w:rPr>
          <w:lang w:val="fr-FR"/>
        </w:rPr>
        <w:t>7.  Le 24 juin 2010, le parquet interrogea X. Ce dernier avoua sa culpabilité par rapport aux faits qui lui étaient reprochés et fit des déclarations accusatoires à l</w:t>
      </w:r>
      <w:r w:rsidR="0065181A">
        <w:rPr>
          <w:lang w:val="fr-FR"/>
        </w:rPr>
        <w:t>’</w:t>
      </w:r>
      <w:r>
        <w:rPr>
          <w:lang w:val="fr-FR"/>
        </w:rPr>
        <w:t>encontre de ses coïnculpés, parmi lesquels le requérant. Le même jour, le parquet transmit le procès-verbal de cet interrogatoire au greffe du GIP de Pavie.</w:t>
      </w:r>
    </w:p>
    <w:p w:rsidR="003242D3" w:rsidRDefault="003242D3" w:rsidP="003242D3">
      <w:pPr>
        <w:pStyle w:val="ECHRPara"/>
        <w:rPr>
          <w:lang w:val="fr-FR"/>
        </w:rPr>
      </w:pPr>
      <w:r>
        <w:rPr>
          <w:lang w:val="fr-FR"/>
        </w:rPr>
        <w:t xml:space="preserve">8.  Une audience en chambre du conseil eut lieu devant le GIP de Pavie le 16 juillet 2010. </w:t>
      </w:r>
      <w:r>
        <w:rPr>
          <w:rFonts w:cstheme="minorHAnsi"/>
          <w:lang w:val="fr-FR"/>
        </w:rPr>
        <w:t>À</w:t>
      </w:r>
      <w:r>
        <w:rPr>
          <w:lang w:val="fr-FR"/>
        </w:rPr>
        <w:t xml:space="preserve"> cette occasion, l</w:t>
      </w:r>
      <w:r w:rsidR="0065181A">
        <w:rPr>
          <w:lang w:val="fr-FR"/>
        </w:rPr>
        <w:t>’</w:t>
      </w:r>
      <w:r>
        <w:rPr>
          <w:lang w:val="fr-FR"/>
        </w:rPr>
        <w:t>avocat du requérant nota que le parquet avait produit du matériel probatoire, à savoir, le procès-verbal de l</w:t>
      </w:r>
      <w:r w:rsidR="0065181A">
        <w:rPr>
          <w:lang w:val="fr-FR"/>
        </w:rPr>
        <w:t>’</w:t>
      </w:r>
      <w:r>
        <w:rPr>
          <w:lang w:val="fr-FR"/>
        </w:rPr>
        <w:t>interrogatoire de X, après le dépôt de la demande de procédure abrégée de son client. Puisque cette démarche se caractérisait par une décision « en l</w:t>
      </w:r>
      <w:r w:rsidR="0065181A">
        <w:rPr>
          <w:lang w:val="fr-FR"/>
        </w:rPr>
        <w:t>’</w:t>
      </w:r>
      <w:r>
        <w:rPr>
          <w:lang w:val="fr-FR"/>
        </w:rPr>
        <w:t>état », l</w:t>
      </w:r>
      <w:r w:rsidR="0065181A">
        <w:rPr>
          <w:lang w:val="fr-FR"/>
        </w:rPr>
        <w:t>’</w:t>
      </w:r>
      <w:r>
        <w:rPr>
          <w:lang w:val="fr-FR"/>
        </w:rPr>
        <w:t>avocat du requérant demanda que le matériel tardivement produit par le parquet ne fût pas utilisé pour trancher du bien-fondé des accusations.</w:t>
      </w:r>
    </w:p>
    <w:p w:rsidR="003242D3" w:rsidRDefault="003242D3" w:rsidP="003242D3">
      <w:pPr>
        <w:pStyle w:val="ECHRPara"/>
        <w:rPr>
          <w:lang w:val="fr-FR"/>
        </w:rPr>
      </w:pPr>
      <w:bookmarkStart w:id="1" w:name="ordinanzaGIP16720101"/>
      <w:r>
        <w:rPr>
          <w:lang w:val="fr-FR"/>
        </w:rPr>
        <w:t>9</w:t>
      </w:r>
      <w:bookmarkEnd w:id="1"/>
      <w:r>
        <w:rPr>
          <w:lang w:val="fr-FR"/>
        </w:rPr>
        <w:t>.  Par une ordonnance du 16 juillet 2010, le GIP de Pavie rejeta la demande de l</w:t>
      </w:r>
      <w:r w:rsidR="0065181A">
        <w:rPr>
          <w:lang w:val="fr-FR"/>
        </w:rPr>
        <w:t>’</w:t>
      </w:r>
      <w:r>
        <w:rPr>
          <w:lang w:val="fr-FR"/>
        </w:rPr>
        <w:t>avocat du requérant. Il observa que le retard par lequel l</w:t>
      </w:r>
      <w:r w:rsidR="0065181A">
        <w:rPr>
          <w:lang w:val="fr-FR"/>
        </w:rPr>
        <w:t>’</w:t>
      </w:r>
      <w:r>
        <w:rPr>
          <w:lang w:val="fr-FR"/>
        </w:rPr>
        <w:t>interrogatoire incriminé avait été effectué n</w:t>
      </w:r>
      <w:r w:rsidR="0065181A">
        <w:rPr>
          <w:lang w:val="fr-FR"/>
        </w:rPr>
        <w:t>’</w:t>
      </w:r>
      <w:r>
        <w:rPr>
          <w:lang w:val="fr-FR"/>
        </w:rPr>
        <w:t>était pas dû à une négligence du parquet, mais à la circonstance que X n</w:t>
      </w:r>
      <w:r w:rsidR="0065181A">
        <w:rPr>
          <w:lang w:val="fr-FR"/>
        </w:rPr>
        <w:t>’</w:t>
      </w:r>
      <w:r>
        <w:rPr>
          <w:lang w:val="fr-FR"/>
        </w:rPr>
        <w:t>avait demandé d</w:t>
      </w:r>
      <w:r w:rsidR="0065181A">
        <w:rPr>
          <w:lang w:val="fr-FR"/>
        </w:rPr>
        <w:t>’</w:t>
      </w:r>
      <w:r>
        <w:rPr>
          <w:lang w:val="fr-FR"/>
        </w:rPr>
        <w:t>être entendu que le 9 juin 2010. Par ailleurs, l</w:t>
      </w:r>
      <w:r w:rsidR="0065181A">
        <w:rPr>
          <w:lang w:val="fr-FR"/>
        </w:rPr>
        <w:t>’</w:t>
      </w:r>
      <w:r>
        <w:rPr>
          <w:lang w:val="fr-FR"/>
        </w:rPr>
        <w:t>audience préliminaire n</w:t>
      </w:r>
      <w:r w:rsidR="0065181A">
        <w:rPr>
          <w:lang w:val="fr-FR"/>
        </w:rPr>
        <w:t>’</w:t>
      </w:r>
      <w:r>
        <w:rPr>
          <w:lang w:val="fr-FR"/>
        </w:rPr>
        <w:t>avait été fixée qu</w:t>
      </w:r>
      <w:r w:rsidR="0065181A">
        <w:rPr>
          <w:lang w:val="fr-FR"/>
        </w:rPr>
        <w:t>’</w:t>
      </w:r>
      <w:r>
        <w:rPr>
          <w:lang w:val="fr-FR"/>
        </w:rPr>
        <w:t>en juillet 2010 ; de l</w:t>
      </w:r>
      <w:r w:rsidR="0065181A">
        <w:rPr>
          <w:lang w:val="fr-FR"/>
        </w:rPr>
        <w:t>’</w:t>
      </w:r>
      <w:r>
        <w:rPr>
          <w:lang w:val="fr-FR"/>
        </w:rPr>
        <w:t>avis du GIP, ce n</w:t>
      </w:r>
      <w:r w:rsidR="0065181A">
        <w:rPr>
          <w:lang w:val="fr-FR"/>
        </w:rPr>
        <w:t>’</w:t>
      </w:r>
      <w:r>
        <w:rPr>
          <w:lang w:val="fr-FR"/>
        </w:rPr>
        <w:t>était qu</w:t>
      </w:r>
      <w:r w:rsidR="0065181A">
        <w:rPr>
          <w:lang w:val="fr-FR"/>
        </w:rPr>
        <w:t>’</w:t>
      </w:r>
      <w:r>
        <w:rPr>
          <w:lang w:val="fr-FR"/>
        </w:rPr>
        <w:t>à partir de cette dernière date que la demande d</w:t>
      </w:r>
      <w:r w:rsidR="0065181A">
        <w:rPr>
          <w:lang w:val="fr-FR"/>
        </w:rPr>
        <w:t>’</w:t>
      </w:r>
      <w:r>
        <w:rPr>
          <w:lang w:val="fr-FR"/>
        </w:rPr>
        <w:t>adoption de la procédure abrégée du requérant pouvait être considérée comme étant recevable.</w:t>
      </w:r>
    </w:p>
    <w:p w:rsidR="003242D3" w:rsidRDefault="003242D3" w:rsidP="003242D3">
      <w:pPr>
        <w:pStyle w:val="ECHRPara"/>
        <w:rPr>
          <w:lang w:val="fr-FR"/>
        </w:rPr>
      </w:pPr>
      <w:bookmarkStart w:id="2" w:name="ordinanzaGIP16720102"/>
      <w:r>
        <w:rPr>
          <w:lang w:val="fr-FR"/>
        </w:rPr>
        <w:t>10</w:t>
      </w:r>
      <w:bookmarkEnd w:id="2"/>
      <w:r>
        <w:rPr>
          <w:lang w:val="fr-FR"/>
        </w:rPr>
        <w:t>.  Le GIP observa de surcroît que le requérant avait demandé l</w:t>
      </w:r>
      <w:r w:rsidR="0065181A">
        <w:rPr>
          <w:lang w:val="fr-FR"/>
        </w:rPr>
        <w:t>’</w:t>
      </w:r>
      <w:r>
        <w:rPr>
          <w:lang w:val="fr-FR"/>
        </w:rPr>
        <w:t>adoption de la procédure abrégée sans avoir connaissance de l</w:t>
      </w:r>
      <w:r w:rsidR="0065181A">
        <w:rPr>
          <w:lang w:val="fr-FR"/>
        </w:rPr>
        <w:t>’</w:t>
      </w:r>
      <w:r>
        <w:rPr>
          <w:lang w:val="fr-FR"/>
        </w:rPr>
        <w:t>interrogatoire de X, dont l</w:t>
      </w:r>
      <w:r w:rsidR="0065181A">
        <w:rPr>
          <w:lang w:val="fr-FR"/>
        </w:rPr>
        <w:t>’</w:t>
      </w:r>
      <w:r>
        <w:rPr>
          <w:lang w:val="fr-FR"/>
        </w:rPr>
        <w:t>importance pour la décision sur la culpabilité du prévenu était « évidente ». S</w:t>
      </w:r>
      <w:r w:rsidR="0065181A">
        <w:rPr>
          <w:lang w:val="fr-FR"/>
        </w:rPr>
        <w:t>’</w:t>
      </w:r>
      <w:r>
        <w:rPr>
          <w:lang w:val="fr-FR"/>
        </w:rPr>
        <w:t>il avait vu cette pièce, le requérant aurait pu choisir une stratégie défensive différente. Par conséquent, il s</w:t>
      </w:r>
      <w:r w:rsidR="0065181A">
        <w:rPr>
          <w:lang w:val="fr-FR"/>
        </w:rPr>
        <w:t>’</w:t>
      </w:r>
      <w:r>
        <w:rPr>
          <w:lang w:val="fr-FR"/>
        </w:rPr>
        <w:t>imposait de rouvrir jusqu</w:t>
      </w:r>
      <w:r w:rsidR="0065181A">
        <w:rPr>
          <w:lang w:val="fr-FR"/>
        </w:rPr>
        <w:t>’</w:t>
      </w:r>
      <w:r>
        <w:rPr>
          <w:lang w:val="fr-FR"/>
        </w:rPr>
        <w:t xml:space="preserve">au 3 septembre 2010 le délai pour la présentation, par le </w:t>
      </w:r>
      <w:r>
        <w:rPr>
          <w:lang w:val="fr-FR"/>
        </w:rPr>
        <w:lastRenderedPageBreak/>
        <w:t>requérant, d</w:t>
      </w:r>
      <w:r w:rsidR="0065181A">
        <w:rPr>
          <w:lang w:val="fr-FR"/>
        </w:rPr>
        <w:t>’</w:t>
      </w:r>
      <w:r>
        <w:rPr>
          <w:lang w:val="fr-FR"/>
        </w:rPr>
        <w:t>éventuelles demandes d</w:t>
      </w:r>
      <w:r w:rsidR="0065181A">
        <w:rPr>
          <w:lang w:val="fr-FR"/>
        </w:rPr>
        <w:t>’</w:t>
      </w:r>
      <w:r>
        <w:rPr>
          <w:lang w:val="fr-FR"/>
        </w:rPr>
        <w:t>adoption de la procédure abrégée ou d</w:t>
      </w:r>
      <w:r w:rsidR="0065181A">
        <w:rPr>
          <w:lang w:val="fr-FR"/>
        </w:rPr>
        <w:t>’</w:t>
      </w:r>
      <w:r>
        <w:rPr>
          <w:lang w:val="fr-FR"/>
        </w:rPr>
        <w:t>application d</w:t>
      </w:r>
      <w:r w:rsidR="0065181A">
        <w:rPr>
          <w:lang w:val="fr-FR"/>
        </w:rPr>
        <w:t>’</w:t>
      </w:r>
      <w:r>
        <w:rPr>
          <w:lang w:val="fr-FR"/>
        </w:rPr>
        <w:t>une peine négociée avec le parquet.</w:t>
      </w:r>
    </w:p>
    <w:p w:rsidR="003242D3" w:rsidRDefault="003242D3" w:rsidP="003242D3">
      <w:pPr>
        <w:pStyle w:val="ECHRPara"/>
        <w:rPr>
          <w:lang w:val="fr-FR"/>
        </w:rPr>
      </w:pPr>
      <w:bookmarkStart w:id="3" w:name="ricorsocassordinanzaGIP1672010"/>
      <w:r>
        <w:rPr>
          <w:lang w:val="fr-FR"/>
        </w:rPr>
        <w:t>11</w:t>
      </w:r>
      <w:bookmarkEnd w:id="3"/>
      <w:r>
        <w:rPr>
          <w:lang w:val="fr-FR"/>
        </w:rPr>
        <w:t>.  Le requérant se pourvut en cassation contre l</w:t>
      </w:r>
      <w:r w:rsidR="0065181A">
        <w:rPr>
          <w:lang w:val="fr-FR"/>
        </w:rPr>
        <w:t>’</w:t>
      </w:r>
      <w:r>
        <w:rPr>
          <w:lang w:val="fr-FR"/>
        </w:rPr>
        <w:t>ordonnance du 16 juillet 2010. Il ne présenta devant le GIP aucune nouvelle demande d</w:t>
      </w:r>
      <w:r w:rsidR="0065181A">
        <w:rPr>
          <w:lang w:val="fr-FR"/>
        </w:rPr>
        <w:t>’</w:t>
      </w:r>
      <w:r>
        <w:rPr>
          <w:lang w:val="fr-FR"/>
        </w:rPr>
        <w:t>adoption de la procédure abrégée ou de toute autre démarche simplifiée.</w:t>
      </w:r>
    </w:p>
    <w:p w:rsidR="003242D3" w:rsidRDefault="003242D3" w:rsidP="003242D3">
      <w:pPr>
        <w:pStyle w:val="ECHRPara"/>
        <w:rPr>
          <w:lang w:val="fr-FR"/>
        </w:rPr>
      </w:pPr>
      <w:bookmarkStart w:id="4" w:name="penaX"/>
      <w:r>
        <w:rPr>
          <w:lang w:val="fr-FR"/>
        </w:rPr>
        <w:t>12</w:t>
      </w:r>
      <w:bookmarkEnd w:id="4"/>
      <w:r>
        <w:rPr>
          <w:lang w:val="fr-FR"/>
        </w:rPr>
        <w:t>.  L</w:t>
      </w:r>
      <w:r w:rsidR="0065181A">
        <w:rPr>
          <w:lang w:val="fr-FR"/>
        </w:rPr>
        <w:t>’</w:t>
      </w:r>
      <w:r>
        <w:rPr>
          <w:lang w:val="fr-FR"/>
        </w:rPr>
        <w:t xml:space="preserve">audience préliminaire se tint le 9 septembre 2010. </w:t>
      </w:r>
      <w:r>
        <w:rPr>
          <w:rFonts w:cstheme="minorHAnsi"/>
          <w:lang w:val="fr-FR"/>
        </w:rPr>
        <w:t>À</w:t>
      </w:r>
      <w:r>
        <w:rPr>
          <w:lang w:val="fr-FR"/>
        </w:rPr>
        <w:t xml:space="preserve"> cette occasion, le GIP appliqua à X la peine de deux ans et deux mois d</w:t>
      </w:r>
      <w:r w:rsidR="0065181A">
        <w:rPr>
          <w:lang w:val="fr-FR"/>
        </w:rPr>
        <w:t>’</w:t>
      </w:r>
      <w:r>
        <w:rPr>
          <w:lang w:val="fr-FR"/>
        </w:rPr>
        <w:t>emprisonnement, que l</w:t>
      </w:r>
      <w:r w:rsidR="0065181A">
        <w:rPr>
          <w:lang w:val="fr-FR"/>
        </w:rPr>
        <w:t>’</w:t>
      </w:r>
      <w:r>
        <w:rPr>
          <w:lang w:val="fr-FR"/>
        </w:rPr>
        <w:t>intéressé avait négociée avec le parquet.</w:t>
      </w:r>
    </w:p>
    <w:p w:rsidR="003242D3" w:rsidRDefault="003242D3" w:rsidP="003242D3">
      <w:pPr>
        <w:pStyle w:val="ECHRPara"/>
        <w:rPr>
          <w:lang w:val="fr-FR"/>
        </w:rPr>
      </w:pPr>
      <w:r>
        <w:rPr>
          <w:lang w:val="fr-FR"/>
        </w:rPr>
        <w:t>13.  Par un jugement du 9 septembre 2010, dont le texte fut déposé au greffe le 14 septembre 2010, le GIP de Pavie condamna le requérant à une peine de dix ans d</w:t>
      </w:r>
      <w:r w:rsidR="0065181A">
        <w:rPr>
          <w:lang w:val="fr-FR"/>
        </w:rPr>
        <w:t>’</w:t>
      </w:r>
      <w:r>
        <w:rPr>
          <w:lang w:val="fr-FR"/>
        </w:rPr>
        <w:t>emprisonnement et 1 665 euros (EUR) d</w:t>
      </w:r>
      <w:r w:rsidR="0065181A">
        <w:rPr>
          <w:lang w:val="fr-FR"/>
        </w:rPr>
        <w:t>’</w:t>
      </w:r>
      <w:r>
        <w:rPr>
          <w:lang w:val="fr-FR"/>
        </w:rPr>
        <w:t>amende.</w:t>
      </w:r>
    </w:p>
    <w:p w:rsidR="00B654CA" w:rsidRDefault="003242D3" w:rsidP="003242D3">
      <w:pPr>
        <w:pStyle w:val="ECHRPara"/>
        <w:rPr>
          <w:lang w:val="fr-FR"/>
        </w:rPr>
      </w:pPr>
      <w:bookmarkStart w:id="5" w:name="GIPelementsachargedurequerant"/>
      <w:r>
        <w:rPr>
          <w:lang w:val="fr-FR"/>
        </w:rPr>
        <w:t>14</w:t>
      </w:r>
      <w:bookmarkEnd w:id="5"/>
      <w:r>
        <w:rPr>
          <w:lang w:val="fr-FR"/>
        </w:rPr>
        <w:t>.  Le GIP observa qu</w:t>
      </w:r>
      <w:r w:rsidR="0065181A">
        <w:rPr>
          <w:lang w:val="fr-FR"/>
        </w:rPr>
        <w:t>’</w:t>
      </w:r>
      <w:r>
        <w:rPr>
          <w:lang w:val="fr-FR"/>
        </w:rPr>
        <w:t>à la charge du requérant pesaient les éléments suivants : - les déclarations du couple ayant été victime du vol à main armée, perpétré</w:t>
      </w:r>
      <w:r w:rsidR="006714FC">
        <w:rPr>
          <w:lang w:val="fr-FR"/>
        </w:rPr>
        <w:t xml:space="preserve"> </w:t>
      </w:r>
      <w:r>
        <w:rPr>
          <w:lang w:val="fr-FR"/>
        </w:rPr>
        <w:t>par trois homme cagoulés</w:t>
      </w:r>
      <w:r w:rsidR="006714FC">
        <w:rPr>
          <w:lang w:val="fr-FR"/>
        </w:rPr>
        <w:t> </w:t>
      </w:r>
      <w:r>
        <w:rPr>
          <w:lang w:val="fr-FR"/>
        </w:rPr>
        <w:t>; - la circonstance que lors d</w:t>
      </w:r>
      <w:r w:rsidR="0065181A">
        <w:rPr>
          <w:lang w:val="fr-FR"/>
        </w:rPr>
        <w:t>’</w:t>
      </w:r>
      <w:r>
        <w:rPr>
          <w:lang w:val="fr-FR"/>
        </w:rPr>
        <w:t>un contrôle de police, du ruban adhésif, des gants et une cagoule avaient été trouvés à l</w:t>
      </w:r>
      <w:r w:rsidR="0065181A">
        <w:rPr>
          <w:lang w:val="fr-FR"/>
        </w:rPr>
        <w:t>’</w:t>
      </w:r>
      <w:r>
        <w:rPr>
          <w:lang w:val="fr-FR"/>
        </w:rPr>
        <w:t>intérieur de la voiture du requérant ; - le fait que le 9 février 2010, le requérant et X avaient été arrêtés en flagrant délit lorsqu</w:t>
      </w:r>
      <w:r w:rsidR="0065181A">
        <w:rPr>
          <w:lang w:val="fr-FR"/>
        </w:rPr>
        <w:t>’</w:t>
      </w:r>
      <w:r>
        <w:rPr>
          <w:lang w:val="fr-FR"/>
        </w:rPr>
        <w:t>ils étaient en train de commettre, avec des modalités similaires, un autre vol à main armée ; - le fait que le requérant avait avoué sa culpabilité quant au vol à main armée du 9 février 2010 et à deux autres épisodes similaires ; - les circonstances que le 30 janvier 2010, le téléphone portable du requérant se trouvait dans la commune de Bereguardo, et que, peu avant la commission du vol à main armée, l</w:t>
      </w:r>
      <w:r w:rsidR="0065181A">
        <w:rPr>
          <w:lang w:val="fr-FR"/>
        </w:rPr>
        <w:t>’</w:t>
      </w:r>
      <w:r>
        <w:rPr>
          <w:lang w:val="fr-FR"/>
        </w:rPr>
        <w:t xml:space="preserve">intéressé et X avaient échangé des coups de fil. </w:t>
      </w:r>
      <w:r w:rsidRPr="007E79F0">
        <w:rPr>
          <w:lang w:val="fr-FR"/>
        </w:rPr>
        <w:t>Selon le GIP, ces graves indices étaient « définitivement confirmés » par l</w:t>
      </w:r>
      <w:r>
        <w:rPr>
          <w:lang w:val="fr-FR"/>
        </w:rPr>
        <w:t>es déclarations de X au parquet du 24 juin 2010</w:t>
      </w:r>
      <w:r w:rsidRPr="00A2465F">
        <w:rPr>
          <w:lang w:val="fr-FR"/>
        </w:rPr>
        <w:t xml:space="preserve">. </w:t>
      </w:r>
      <w:r>
        <w:rPr>
          <w:rFonts w:cstheme="minorHAnsi"/>
          <w:lang w:val="fr-FR"/>
        </w:rPr>
        <w:t>À</w:t>
      </w:r>
      <w:r>
        <w:rPr>
          <w:lang w:val="fr-FR"/>
        </w:rPr>
        <w:t xml:space="preserve"> cette occasion, fournissant des détails précis et crédibles, X avait avoué sa responsabilité pour le vol à main armée de Bereguardo et avait affirmé avoir agi en complicité avec le re</w:t>
      </w:r>
      <w:r w:rsidR="006714FC">
        <w:rPr>
          <w:lang w:val="fr-FR"/>
        </w:rPr>
        <w:t>quérant et une tierce personne.</w:t>
      </w:r>
    </w:p>
    <w:p w:rsidR="003242D3" w:rsidRDefault="003242D3" w:rsidP="003242D3">
      <w:pPr>
        <w:pStyle w:val="ECHRPara"/>
        <w:rPr>
          <w:lang w:val="fr-FR"/>
        </w:rPr>
      </w:pPr>
      <w:bookmarkStart w:id="6" w:name="GIPreductionpeine"/>
      <w:r>
        <w:rPr>
          <w:lang w:val="fr-FR"/>
        </w:rPr>
        <w:t>15</w:t>
      </w:r>
      <w:bookmarkEnd w:id="6"/>
      <w:r>
        <w:rPr>
          <w:lang w:val="fr-FR"/>
        </w:rPr>
        <w:t>.  Il était vrai que le requérant avouait sa culpabilité pour d</w:t>
      </w:r>
      <w:r w:rsidR="0065181A">
        <w:rPr>
          <w:lang w:val="fr-FR"/>
        </w:rPr>
        <w:t>’</w:t>
      </w:r>
      <w:r>
        <w:rPr>
          <w:lang w:val="fr-FR"/>
        </w:rPr>
        <w:t>autres vols à main armée, mais non pour celui de Bereguardo. Cependant, ceci pouvait s</w:t>
      </w:r>
      <w:r w:rsidR="0065181A">
        <w:rPr>
          <w:lang w:val="fr-FR"/>
        </w:rPr>
        <w:t>’</w:t>
      </w:r>
      <w:r>
        <w:rPr>
          <w:lang w:val="fr-FR"/>
        </w:rPr>
        <w:t>expliquer par le fait que, probablement, il considérait les indices à sa charge insuffisants et espérait pouvoir obtenir un acquittement. Au demeurant, le GIP nota que les faits étaient gravissimes, qu</w:t>
      </w:r>
      <w:r w:rsidR="0065181A">
        <w:rPr>
          <w:lang w:val="fr-FR"/>
        </w:rPr>
        <w:t>’</w:t>
      </w:r>
      <w:r>
        <w:rPr>
          <w:lang w:val="fr-FR"/>
        </w:rPr>
        <w:t>ils avaient été commis à l</w:t>
      </w:r>
      <w:r w:rsidR="0065181A">
        <w:rPr>
          <w:lang w:val="fr-FR"/>
        </w:rPr>
        <w:t>’</w:t>
      </w:r>
      <w:r>
        <w:rPr>
          <w:lang w:val="fr-FR"/>
        </w:rPr>
        <w:t>encontre d</w:t>
      </w:r>
      <w:r w:rsidR="0065181A">
        <w:rPr>
          <w:lang w:val="fr-FR"/>
        </w:rPr>
        <w:t>’</w:t>
      </w:r>
      <w:r>
        <w:rPr>
          <w:lang w:val="fr-FR"/>
        </w:rPr>
        <w:t>un couple âgé et que la violence perpétrée était allée bien au-delà de ce qui était nécessaire pour intimider les victimes. Par ailleurs, le requérant n</w:t>
      </w:r>
      <w:r w:rsidR="0065181A">
        <w:rPr>
          <w:lang w:val="fr-FR"/>
        </w:rPr>
        <w:t>’</w:t>
      </w:r>
      <w:r>
        <w:rPr>
          <w:lang w:val="fr-FR"/>
        </w:rPr>
        <w:t>avait montré aucun signe de repentir, ce qui empêchait de lui octroyer des circonstances atténuantes. La peine devait donc être fixée à quinze ans d</w:t>
      </w:r>
      <w:r w:rsidR="0065181A">
        <w:rPr>
          <w:lang w:val="fr-FR"/>
        </w:rPr>
        <w:t>’</w:t>
      </w:r>
      <w:r>
        <w:rPr>
          <w:lang w:val="fr-FR"/>
        </w:rPr>
        <w:t>emprisonnement et 2 500 EUR d</w:t>
      </w:r>
      <w:r w:rsidR="0065181A">
        <w:rPr>
          <w:lang w:val="fr-FR"/>
        </w:rPr>
        <w:t>’</w:t>
      </w:r>
      <w:r>
        <w:rPr>
          <w:lang w:val="fr-FR"/>
        </w:rPr>
        <w:t>amende. Elle devait être diminuée d</w:t>
      </w:r>
      <w:r w:rsidR="0065181A">
        <w:rPr>
          <w:lang w:val="fr-FR"/>
        </w:rPr>
        <w:t>’</w:t>
      </w:r>
      <w:r>
        <w:rPr>
          <w:lang w:val="fr-FR"/>
        </w:rPr>
        <w:t>un tiers (et donc être réduite à dix ans d</w:t>
      </w:r>
      <w:r w:rsidR="0065181A">
        <w:rPr>
          <w:lang w:val="fr-FR"/>
        </w:rPr>
        <w:t>’</w:t>
      </w:r>
      <w:r>
        <w:rPr>
          <w:lang w:val="fr-FR"/>
        </w:rPr>
        <w:t>emprisonnement et 1 665 EUR d</w:t>
      </w:r>
      <w:r w:rsidR="0065181A">
        <w:rPr>
          <w:lang w:val="fr-FR"/>
        </w:rPr>
        <w:t>’</w:t>
      </w:r>
      <w:r>
        <w:rPr>
          <w:lang w:val="fr-FR"/>
        </w:rPr>
        <w:t>amende) car le requérant avait choisi la procédure abrégée.</w:t>
      </w:r>
    </w:p>
    <w:p w:rsidR="003242D3" w:rsidRDefault="003242D3" w:rsidP="003242D3">
      <w:pPr>
        <w:pStyle w:val="ECHRHeading3"/>
        <w:rPr>
          <w:lang w:val="fr-FR"/>
        </w:rPr>
      </w:pPr>
      <w:r>
        <w:rPr>
          <w:lang w:val="fr-FR"/>
        </w:rPr>
        <w:t>2.  L</w:t>
      </w:r>
      <w:r w:rsidR="0065181A">
        <w:rPr>
          <w:lang w:val="fr-FR"/>
        </w:rPr>
        <w:t>’</w:t>
      </w:r>
      <w:r>
        <w:rPr>
          <w:lang w:val="fr-FR"/>
        </w:rPr>
        <w:t>appel</w:t>
      </w:r>
    </w:p>
    <w:p w:rsidR="003242D3" w:rsidRDefault="003242D3" w:rsidP="003242D3">
      <w:pPr>
        <w:pStyle w:val="ECHRPara"/>
        <w:rPr>
          <w:lang w:val="fr-FR"/>
        </w:rPr>
      </w:pPr>
      <w:r>
        <w:rPr>
          <w:lang w:val="fr-FR"/>
        </w:rPr>
        <w:t>16.  Le requérant interjeta appel de sa condamnation.</w:t>
      </w:r>
    </w:p>
    <w:p w:rsidR="003242D3" w:rsidRDefault="003242D3" w:rsidP="003242D3">
      <w:pPr>
        <w:pStyle w:val="ECHRPara"/>
        <w:rPr>
          <w:lang w:val="fr-FR"/>
        </w:rPr>
      </w:pPr>
      <w:bookmarkStart w:id="7" w:name="Ccass1112011a"/>
      <w:r>
        <w:rPr>
          <w:lang w:val="fr-FR"/>
        </w:rPr>
        <w:lastRenderedPageBreak/>
        <w:t>17</w:t>
      </w:r>
      <w:bookmarkEnd w:id="7"/>
      <w:r>
        <w:rPr>
          <w:lang w:val="fr-FR"/>
        </w:rPr>
        <w:t>.  Le 11 janvier 2011, lorsque la procédure d</w:t>
      </w:r>
      <w:r w:rsidR="0065181A">
        <w:rPr>
          <w:lang w:val="fr-FR"/>
        </w:rPr>
        <w:t>’</w:t>
      </w:r>
      <w:r>
        <w:rPr>
          <w:lang w:val="fr-FR"/>
        </w:rPr>
        <w:t>appel était pendante, la Cour de cassation accueillit le pourvoi</w:t>
      </w:r>
      <w:r w:rsidR="002977A3">
        <w:rPr>
          <w:lang w:val="fr-FR"/>
        </w:rPr>
        <w:t xml:space="preserve"> du requérant (paragraphe 11 ci</w:t>
      </w:r>
      <w:r w:rsidR="002977A3">
        <w:rPr>
          <w:lang w:val="fr-FR"/>
        </w:rPr>
        <w:noBreakHyphen/>
      </w:r>
      <w:r>
        <w:rPr>
          <w:lang w:val="fr-FR"/>
        </w:rPr>
        <w:t>dessus) et annula l</w:t>
      </w:r>
      <w:r w:rsidR="0065181A">
        <w:rPr>
          <w:lang w:val="fr-FR"/>
        </w:rPr>
        <w:t>’</w:t>
      </w:r>
      <w:r>
        <w:rPr>
          <w:lang w:val="fr-FR"/>
        </w:rPr>
        <w:t>ordonnance du 16 juillet 2010.</w:t>
      </w:r>
    </w:p>
    <w:p w:rsidR="003242D3" w:rsidRDefault="003242D3" w:rsidP="003242D3">
      <w:pPr>
        <w:pStyle w:val="ECHRPara"/>
        <w:rPr>
          <w:lang w:val="fr-FR"/>
        </w:rPr>
      </w:pPr>
      <w:bookmarkStart w:id="8" w:name="Ccass1112011b"/>
      <w:r>
        <w:rPr>
          <w:lang w:val="fr-FR"/>
        </w:rPr>
        <w:t>18</w:t>
      </w:r>
      <w:bookmarkEnd w:id="8"/>
      <w:r>
        <w:rPr>
          <w:lang w:val="fr-FR"/>
        </w:rPr>
        <w:t>.  </w:t>
      </w:r>
      <w:r w:rsidRPr="00BF464B">
        <w:rPr>
          <w:lang w:val="fr-FR"/>
        </w:rPr>
        <w:t xml:space="preserve">La Cour de cassation observa </w:t>
      </w:r>
      <w:r>
        <w:rPr>
          <w:lang w:val="fr-FR"/>
        </w:rPr>
        <w:t>que l</w:t>
      </w:r>
      <w:r w:rsidR="0065181A">
        <w:rPr>
          <w:lang w:val="fr-FR"/>
        </w:rPr>
        <w:t>’</w:t>
      </w:r>
      <w:r>
        <w:rPr>
          <w:lang w:val="fr-FR"/>
        </w:rPr>
        <w:t>ordonnance litigieuse avait implicitement révoqué l</w:t>
      </w:r>
      <w:r w:rsidR="0065181A">
        <w:rPr>
          <w:lang w:val="fr-FR"/>
        </w:rPr>
        <w:t>’</w:t>
      </w:r>
      <w:r>
        <w:rPr>
          <w:lang w:val="fr-FR"/>
        </w:rPr>
        <w:t>admission du requérant à la procédure abrégée, créant ainsi une régression de la procédure à un stade antérieur, ce qui selon la jurisprudence de la Haute juridiction italienne n</w:t>
      </w:r>
      <w:r w:rsidR="0065181A">
        <w:rPr>
          <w:lang w:val="fr-FR"/>
        </w:rPr>
        <w:t>’</w:t>
      </w:r>
      <w:r>
        <w:rPr>
          <w:lang w:val="fr-FR"/>
        </w:rPr>
        <w:t>était pas permis. L</w:t>
      </w:r>
      <w:r w:rsidR="0065181A">
        <w:rPr>
          <w:lang w:val="fr-FR"/>
        </w:rPr>
        <w:t>’</w:t>
      </w:r>
      <w:r>
        <w:rPr>
          <w:lang w:val="fr-FR"/>
        </w:rPr>
        <w:t>ordonnance du GIP était illégitime également parce que elle violait le principe selon lequel les choix de procédure, même si faits de manière unilatérale, étaient irrévocables. Or, si le requérant ne pouvait pas révoquer sa demande d</w:t>
      </w:r>
      <w:r w:rsidR="0065181A">
        <w:rPr>
          <w:lang w:val="fr-FR"/>
        </w:rPr>
        <w:t>’</w:t>
      </w:r>
      <w:r>
        <w:rPr>
          <w:lang w:val="fr-FR"/>
        </w:rPr>
        <w:t>être jugée selon la procédure abrégée, la même interdiction s</w:t>
      </w:r>
      <w:r w:rsidR="0065181A">
        <w:rPr>
          <w:lang w:val="fr-FR"/>
        </w:rPr>
        <w:t>’</w:t>
      </w:r>
      <w:r>
        <w:rPr>
          <w:lang w:val="fr-FR"/>
        </w:rPr>
        <w:t>appliquait au juge, qui ne pouvait pas inviter l</w:t>
      </w:r>
      <w:r w:rsidR="0065181A">
        <w:rPr>
          <w:lang w:val="fr-FR"/>
        </w:rPr>
        <w:t>’</w:t>
      </w:r>
      <w:r>
        <w:rPr>
          <w:lang w:val="fr-FR"/>
        </w:rPr>
        <w:t>accusé à revenir sur son choix.</w:t>
      </w:r>
    </w:p>
    <w:p w:rsidR="003242D3" w:rsidRDefault="003242D3" w:rsidP="003242D3">
      <w:pPr>
        <w:pStyle w:val="ECHRPara"/>
        <w:rPr>
          <w:lang w:val="fr-FR"/>
        </w:rPr>
      </w:pPr>
      <w:bookmarkStart w:id="9" w:name="InterrogatorioXdevantcourappel"/>
      <w:r>
        <w:rPr>
          <w:rFonts w:cstheme="minorHAnsi"/>
          <w:lang w:val="fr-FR"/>
        </w:rPr>
        <w:t>19</w:t>
      </w:r>
      <w:bookmarkEnd w:id="9"/>
      <w:r>
        <w:rPr>
          <w:rFonts w:cstheme="minorHAnsi"/>
          <w:lang w:val="fr-FR"/>
        </w:rPr>
        <w:t>.  Une audience se tint devant la cour d</w:t>
      </w:r>
      <w:r w:rsidR="0065181A">
        <w:rPr>
          <w:rFonts w:cstheme="minorHAnsi"/>
          <w:lang w:val="fr-FR"/>
        </w:rPr>
        <w:t>’</w:t>
      </w:r>
      <w:r>
        <w:rPr>
          <w:rFonts w:cstheme="minorHAnsi"/>
          <w:lang w:val="fr-FR"/>
        </w:rPr>
        <w:t xml:space="preserve">appel de Milan le </w:t>
      </w:r>
      <w:r>
        <w:rPr>
          <w:lang w:val="fr-FR"/>
        </w:rPr>
        <w:t xml:space="preserve">30 septembre 2011. </w:t>
      </w:r>
      <w:r>
        <w:rPr>
          <w:rFonts w:cstheme="minorHAnsi"/>
          <w:lang w:val="fr-FR"/>
        </w:rPr>
        <w:t>À cette</w:t>
      </w:r>
      <w:r>
        <w:rPr>
          <w:lang w:val="fr-FR"/>
        </w:rPr>
        <w:t xml:space="preserve"> occasion, le parquet demanda une nouvelle audition de X. Le requérant ne s</w:t>
      </w:r>
      <w:r w:rsidR="0065181A">
        <w:rPr>
          <w:lang w:val="fr-FR"/>
        </w:rPr>
        <w:t>’</w:t>
      </w:r>
      <w:r>
        <w:rPr>
          <w:lang w:val="fr-FR"/>
        </w:rPr>
        <w:t>opposa pas à cette demande, et X fut interrogé à l</w:t>
      </w:r>
      <w:r w:rsidR="0065181A">
        <w:rPr>
          <w:lang w:val="fr-FR"/>
        </w:rPr>
        <w:t>’</w:t>
      </w:r>
      <w:r>
        <w:rPr>
          <w:lang w:val="fr-FR"/>
        </w:rPr>
        <w:t>audience du 28 novembre 2011 à la présence du requérant et des représentants des parties. La défense eut l</w:t>
      </w:r>
      <w:r w:rsidR="0065181A">
        <w:rPr>
          <w:lang w:val="fr-FR"/>
        </w:rPr>
        <w:t>’</w:t>
      </w:r>
      <w:r>
        <w:rPr>
          <w:lang w:val="fr-FR"/>
        </w:rPr>
        <w:t>occasion de poser des questions à ce témoin.</w:t>
      </w:r>
    </w:p>
    <w:p w:rsidR="003242D3" w:rsidRDefault="003242D3" w:rsidP="003242D3">
      <w:pPr>
        <w:pStyle w:val="ECHRPara"/>
        <w:rPr>
          <w:lang w:val="fr-FR"/>
        </w:rPr>
      </w:pPr>
      <w:r>
        <w:rPr>
          <w:lang w:val="fr-FR"/>
        </w:rPr>
        <w:t>20.  Par un arrêt du 28 novembre 2011, dont le texte fut déposé au greffe le 27 décembre 2011, la cour d</w:t>
      </w:r>
      <w:r w:rsidR="0065181A">
        <w:rPr>
          <w:lang w:val="fr-FR"/>
        </w:rPr>
        <w:t>’</w:t>
      </w:r>
      <w:r>
        <w:rPr>
          <w:lang w:val="fr-FR"/>
        </w:rPr>
        <w:t>appel de Milan confirma la condamnation infligée au requérant par le GIP de Pavie.</w:t>
      </w:r>
    </w:p>
    <w:p w:rsidR="003242D3" w:rsidRDefault="003242D3" w:rsidP="003242D3">
      <w:pPr>
        <w:pStyle w:val="ECHRPara"/>
        <w:rPr>
          <w:lang w:val="fr-FR"/>
        </w:rPr>
      </w:pPr>
      <w:r>
        <w:rPr>
          <w:lang w:val="fr-FR"/>
        </w:rPr>
        <w:t>21.  La cour d</w:t>
      </w:r>
      <w:r w:rsidR="0065181A">
        <w:rPr>
          <w:lang w:val="fr-FR"/>
        </w:rPr>
        <w:t>’</w:t>
      </w:r>
      <w:r>
        <w:rPr>
          <w:lang w:val="fr-FR"/>
        </w:rPr>
        <w:t>appel observa que le requérant affirmait que l</w:t>
      </w:r>
      <w:r w:rsidR="0065181A">
        <w:rPr>
          <w:lang w:val="fr-FR"/>
        </w:rPr>
        <w:t>’</w:t>
      </w:r>
      <w:r>
        <w:rPr>
          <w:lang w:val="fr-FR"/>
        </w:rPr>
        <w:t xml:space="preserve">interrogatoire de X du 24 juin 2010 ne pouvait pas être utilisé à son encontre. </w:t>
      </w:r>
      <w:r>
        <w:rPr>
          <w:rFonts w:cstheme="minorHAnsi"/>
          <w:lang w:val="fr-FR"/>
        </w:rPr>
        <w:t>À</w:t>
      </w:r>
      <w:r>
        <w:rPr>
          <w:lang w:val="fr-FR"/>
        </w:rPr>
        <w:t xml:space="preserve"> cet égard, il invoquait, entre autres, l</w:t>
      </w:r>
      <w:r w:rsidR="0065181A">
        <w:rPr>
          <w:lang w:val="fr-FR"/>
        </w:rPr>
        <w:t>’</w:t>
      </w:r>
      <w:r>
        <w:rPr>
          <w:lang w:val="fr-FR"/>
        </w:rPr>
        <w:t>arrêt de la Cour de cassation du 11 janvier 2011 (paragraphes 17-18 ci-dessus). Cependant, le témoin en question avait été interrogé à l</w:t>
      </w:r>
      <w:r w:rsidR="0065181A">
        <w:rPr>
          <w:lang w:val="fr-FR"/>
        </w:rPr>
        <w:t>’</w:t>
      </w:r>
      <w:r>
        <w:rPr>
          <w:lang w:val="fr-FR"/>
        </w:rPr>
        <w:t xml:space="preserve">audience du 28 novembre 2011 (paragraphe </w:t>
      </w:r>
      <w:r>
        <w:rPr>
          <w:rFonts w:cstheme="minorHAnsi"/>
          <w:lang w:val="fr-FR"/>
        </w:rPr>
        <w:t>19</w:t>
      </w:r>
      <w:r>
        <w:rPr>
          <w:lang w:val="fr-FR"/>
        </w:rPr>
        <w:t xml:space="preserve"> ci-dessus), et il avait confirmé avoir commis le vol à main armée de Bereguardo en complicité avec le r</w:t>
      </w:r>
      <w:r w:rsidR="002977A3">
        <w:rPr>
          <w:lang w:val="fr-FR"/>
        </w:rPr>
        <w:t xml:space="preserve">equérant et une autre personne. </w:t>
      </w:r>
      <w:r>
        <w:rPr>
          <w:lang w:val="fr-FR"/>
        </w:rPr>
        <w:t>Au demeurant, la cour d</w:t>
      </w:r>
      <w:r w:rsidR="0065181A">
        <w:rPr>
          <w:lang w:val="fr-FR"/>
        </w:rPr>
        <w:t>’</w:t>
      </w:r>
      <w:r>
        <w:rPr>
          <w:lang w:val="fr-FR"/>
        </w:rPr>
        <w:t>appel estima que les éléments à charge indiqués par le GIP de Pavie (paragraphe 14 ci-dessus) permettaient de prouver la culpabilité du requérant au-delà de tout doute raisonnable.</w:t>
      </w:r>
    </w:p>
    <w:p w:rsidR="003242D3" w:rsidRDefault="003242D3" w:rsidP="003242D3">
      <w:pPr>
        <w:pStyle w:val="ECHRHeading3"/>
        <w:rPr>
          <w:lang w:val="fr-FR"/>
        </w:rPr>
      </w:pPr>
      <w:r>
        <w:rPr>
          <w:lang w:val="fr-FR"/>
        </w:rPr>
        <w:t>3.  Le pourvoi en cassation</w:t>
      </w:r>
    </w:p>
    <w:p w:rsidR="003242D3" w:rsidRDefault="003242D3" w:rsidP="003242D3">
      <w:pPr>
        <w:pStyle w:val="ECHRPara"/>
        <w:rPr>
          <w:lang w:val="fr-FR"/>
        </w:rPr>
      </w:pPr>
      <w:r>
        <w:rPr>
          <w:lang w:val="fr-FR"/>
        </w:rPr>
        <w:t>22.  Le requérant se pourvut en cassation. Il allégua que l</w:t>
      </w:r>
      <w:r w:rsidR="0065181A">
        <w:rPr>
          <w:lang w:val="fr-FR"/>
        </w:rPr>
        <w:t>’</w:t>
      </w:r>
      <w:r>
        <w:rPr>
          <w:lang w:val="fr-FR"/>
        </w:rPr>
        <w:t>annulation, par la Cour de cassation, de l</w:t>
      </w:r>
      <w:r w:rsidR="0065181A">
        <w:rPr>
          <w:lang w:val="fr-FR"/>
        </w:rPr>
        <w:t>’</w:t>
      </w:r>
      <w:r>
        <w:rPr>
          <w:lang w:val="fr-FR"/>
        </w:rPr>
        <w:t>ordonnance du 16 juillet 2010, avait déterminé une régression de la procédure devant le GIP, ce qui impliquait la nullité de la condamnation prononcée à son encontre. Selon le requérant, la décision de la cour d</w:t>
      </w:r>
      <w:r w:rsidR="0065181A">
        <w:rPr>
          <w:lang w:val="fr-FR"/>
        </w:rPr>
        <w:t>’</w:t>
      </w:r>
      <w:r>
        <w:rPr>
          <w:lang w:val="fr-FR"/>
        </w:rPr>
        <w:t>appel d</w:t>
      </w:r>
      <w:r w:rsidR="0065181A">
        <w:rPr>
          <w:lang w:val="fr-FR"/>
        </w:rPr>
        <w:t>’</w:t>
      </w:r>
      <w:r>
        <w:rPr>
          <w:lang w:val="fr-FR"/>
        </w:rPr>
        <w:t>ordonner une nouvelle audition de X ne pouvait pas remédier aux vices de procédure s</w:t>
      </w:r>
      <w:r w:rsidR="0065181A">
        <w:rPr>
          <w:lang w:val="fr-FR"/>
        </w:rPr>
        <w:t>’</w:t>
      </w:r>
      <w:r>
        <w:rPr>
          <w:lang w:val="fr-FR"/>
        </w:rPr>
        <w:t>étant produits en première instance. Par ailleurs, les juges d</w:t>
      </w:r>
      <w:r w:rsidR="0065181A">
        <w:rPr>
          <w:lang w:val="fr-FR"/>
        </w:rPr>
        <w:t>’</w:t>
      </w:r>
      <w:r>
        <w:rPr>
          <w:lang w:val="fr-FR"/>
        </w:rPr>
        <w:t>appel n</w:t>
      </w:r>
      <w:r w:rsidR="0065181A">
        <w:rPr>
          <w:lang w:val="fr-FR"/>
        </w:rPr>
        <w:t>’</w:t>
      </w:r>
      <w:r>
        <w:rPr>
          <w:lang w:val="fr-FR"/>
        </w:rPr>
        <w:t>avaient pas dûment tenu compte des contradictions dans lesquelles X était encouru lors de l</w:t>
      </w:r>
      <w:r w:rsidR="0065181A">
        <w:rPr>
          <w:lang w:val="fr-FR"/>
        </w:rPr>
        <w:t>’</w:t>
      </w:r>
      <w:r>
        <w:rPr>
          <w:lang w:val="fr-FR"/>
        </w:rPr>
        <w:t>interrogatoire du 28 novembre 2011.</w:t>
      </w:r>
    </w:p>
    <w:p w:rsidR="003242D3" w:rsidRDefault="003242D3" w:rsidP="003242D3">
      <w:pPr>
        <w:pStyle w:val="ECHRPara"/>
        <w:rPr>
          <w:lang w:val="fr-FR"/>
        </w:rPr>
      </w:pPr>
      <w:r>
        <w:rPr>
          <w:lang w:val="fr-FR"/>
        </w:rPr>
        <w:t>23.  Par un arrêt du 20 février 2013, dont le texte fut déposé au greffe le 20 juin 2013, la Cour de cassation débouta le requérant de son pourvoi.</w:t>
      </w:r>
    </w:p>
    <w:p w:rsidR="003242D3" w:rsidRDefault="003242D3" w:rsidP="003242D3">
      <w:pPr>
        <w:pStyle w:val="ECHRPara"/>
        <w:rPr>
          <w:lang w:val="fr-FR"/>
        </w:rPr>
      </w:pPr>
      <w:bookmarkStart w:id="10" w:name="Ccsaa1"/>
      <w:r>
        <w:rPr>
          <w:lang w:val="fr-FR"/>
        </w:rPr>
        <w:lastRenderedPageBreak/>
        <w:t>24</w:t>
      </w:r>
      <w:bookmarkEnd w:id="10"/>
      <w:r>
        <w:rPr>
          <w:lang w:val="fr-FR"/>
        </w:rPr>
        <w:t>.  La Cour de cassation observa que son arrêt du 11 janvier 2011 (paragraphes 17-18 ci-dessus) ne portait que sur la révocation implicite de l</w:t>
      </w:r>
      <w:r w:rsidR="0065181A">
        <w:rPr>
          <w:lang w:val="fr-FR"/>
        </w:rPr>
        <w:t>’</w:t>
      </w:r>
      <w:r>
        <w:rPr>
          <w:lang w:val="fr-FR"/>
        </w:rPr>
        <w:t>acceptation de la demande de procédure abrégée du requérant. En revanche, cet arrêt ne se penchait pas sur la légitimité de l</w:t>
      </w:r>
      <w:r w:rsidR="0065181A">
        <w:rPr>
          <w:lang w:val="fr-FR"/>
        </w:rPr>
        <w:t>’</w:t>
      </w:r>
      <w:r>
        <w:rPr>
          <w:lang w:val="fr-FR"/>
        </w:rPr>
        <w:t>acquisition au dossier du juge de l</w:t>
      </w:r>
      <w:r w:rsidR="0065181A">
        <w:rPr>
          <w:lang w:val="fr-FR"/>
        </w:rPr>
        <w:t>’</w:t>
      </w:r>
      <w:r>
        <w:rPr>
          <w:lang w:val="fr-FR"/>
        </w:rPr>
        <w:t>interrogatoire de X du 24</w:t>
      </w:r>
      <w:r w:rsidR="006F328F">
        <w:rPr>
          <w:lang w:val="fr-FR"/>
        </w:rPr>
        <w:t xml:space="preserve"> </w:t>
      </w:r>
      <w:r>
        <w:rPr>
          <w:lang w:val="fr-FR"/>
        </w:rPr>
        <w:t>juin 2010. Par la suite, le procès s</w:t>
      </w:r>
      <w:r w:rsidR="0065181A">
        <w:rPr>
          <w:lang w:val="fr-FR"/>
        </w:rPr>
        <w:t>’</w:t>
      </w:r>
      <w:r>
        <w:rPr>
          <w:lang w:val="fr-FR"/>
        </w:rPr>
        <w:t>était correctement déroulé selon les règles de la procédure abrégée, et aucune nullité ne pouvait être décelée.</w:t>
      </w:r>
    </w:p>
    <w:p w:rsidR="003242D3" w:rsidRPr="00E21176" w:rsidRDefault="003242D3" w:rsidP="003242D3">
      <w:pPr>
        <w:pStyle w:val="ECHRPara"/>
        <w:rPr>
          <w:lang w:val="fr-FR"/>
        </w:rPr>
      </w:pPr>
      <w:bookmarkStart w:id="11" w:name="Ccsaa2"/>
      <w:r>
        <w:rPr>
          <w:lang w:val="fr-FR"/>
        </w:rPr>
        <w:t>25</w:t>
      </w:r>
      <w:bookmarkEnd w:id="11"/>
      <w:r>
        <w:rPr>
          <w:lang w:val="fr-FR"/>
        </w:rPr>
        <w:t>.  Au demeurant, le requérant se plaignait des modalités de l</w:t>
      </w:r>
      <w:r w:rsidR="0065181A">
        <w:rPr>
          <w:lang w:val="fr-FR"/>
        </w:rPr>
        <w:t>’</w:t>
      </w:r>
      <w:r>
        <w:rPr>
          <w:lang w:val="fr-FR"/>
        </w:rPr>
        <w:t>audition de X en appel, sans toutefois indiquer les dispositions qui auraient été violées et les droits spécifiques de la défense qui auraient été méconnus.</w:t>
      </w:r>
      <w:r w:rsidRPr="00BF464B">
        <w:rPr>
          <w:lang w:val="fr-FR"/>
        </w:rPr>
        <w:t xml:space="preserve"> </w:t>
      </w:r>
      <w:r>
        <w:rPr>
          <w:lang w:val="fr-FR"/>
        </w:rPr>
        <w:t>La Cour de cassation souligna que l</w:t>
      </w:r>
      <w:r w:rsidR="0065181A">
        <w:rPr>
          <w:lang w:val="fr-FR"/>
        </w:rPr>
        <w:t>’</w:t>
      </w:r>
      <w:r>
        <w:rPr>
          <w:lang w:val="fr-FR"/>
        </w:rPr>
        <w:t>examen contradictoire d</w:t>
      </w:r>
      <w:r w:rsidR="0065181A">
        <w:rPr>
          <w:lang w:val="fr-FR"/>
        </w:rPr>
        <w:t>’</w:t>
      </w:r>
      <w:r>
        <w:rPr>
          <w:lang w:val="fr-FR"/>
        </w:rPr>
        <w:t>un témoin aux débats était le moment clé pour faire remarquer les éventuelles faiblesses de son témoignage.</w:t>
      </w:r>
    </w:p>
    <w:p w:rsidR="003242D3" w:rsidRPr="004C7DAA" w:rsidRDefault="003242D3" w:rsidP="003242D3">
      <w:pPr>
        <w:pStyle w:val="ECHRHeading2"/>
        <w:rPr>
          <w:lang w:val="fr-FR"/>
        </w:rPr>
      </w:pPr>
      <w:r w:rsidRPr="00E21176">
        <w:rPr>
          <w:lang w:val="fr-FR"/>
        </w:rPr>
        <w:t xml:space="preserve">B.  Le droit interne </w:t>
      </w:r>
      <w:r w:rsidRPr="004C7DAA">
        <w:rPr>
          <w:lang w:val="fr-FR"/>
        </w:rPr>
        <w:t>pertinent</w:t>
      </w:r>
    </w:p>
    <w:p w:rsidR="003242D3" w:rsidRDefault="003242D3" w:rsidP="003242D3">
      <w:pPr>
        <w:pStyle w:val="ECHRHeading3"/>
        <w:rPr>
          <w:lang w:val="fr-FR"/>
        </w:rPr>
      </w:pPr>
      <w:r>
        <w:rPr>
          <w:lang w:val="fr-FR"/>
        </w:rPr>
        <w:t>1.  La procédure abrégée</w:t>
      </w:r>
    </w:p>
    <w:p w:rsidR="003242D3" w:rsidRDefault="003242D3" w:rsidP="003242D3">
      <w:pPr>
        <w:pStyle w:val="ECHRPara"/>
        <w:rPr>
          <w:lang w:val="fr-FR"/>
        </w:rPr>
      </w:pPr>
      <w:bookmarkStart w:id="12" w:name="giudizioabbreviato1"/>
      <w:r>
        <w:rPr>
          <w:lang w:val="fr-FR"/>
        </w:rPr>
        <w:t>26</w:t>
      </w:r>
      <w:bookmarkEnd w:id="12"/>
      <w:r>
        <w:rPr>
          <w:lang w:val="fr-FR"/>
        </w:rPr>
        <w:t xml:space="preserve">.  La procédure abrégée </w:t>
      </w:r>
      <w:r w:rsidRPr="001269BE">
        <w:rPr>
          <w:lang w:val="fr-FR"/>
        </w:rPr>
        <w:t>est régie par les articles 438 et 441 à 443 du CPP. Elle se fonde sur l</w:t>
      </w:r>
      <w:r w:rsidR="0065181A">
        <w:rPr>
          <w:lang w:val="fr-FR"/>
        </w:rPr>
        <w:t>’</w:t>
      </w:r>
      <w:r w:rsidRPr="001269BE">
        <w:rPr>
          <w:lang w:val="fr-FR"/>
        </w:rPr>
        <w:t>hypothèse que l</w:t>
      </w:r>
      <w:r w:rsidR="0065181A">
        <w:rPr>
          <w:lang w:val="fr-FR"/>
        </w:rPr>
        <w:t>’</w:t>
      </w:r>
      <w:r w:rsidRPr="001269BE">
        <w:rPr>
          <w:lang w:val="fr-FR"/>
        </w:rPr>
        <w:t>affaire peut être tranchée en l</w:t>
      </w:r>
      <w:r w:rsidR="0065181A">
        <w:rPr>
          <w:lang w:val="fr-FR"/>
        </w:rPr>
        <w:t>’</w:t>
      </w:r>
      <w:r w:rsidRPr="001269BE">
        <w:rPr>
          <w:lang w:val="fr-FR"/>
        </w:rPr>
        <w:t>état (</w:t>
      </w:r>
      <w:r w:rsidRPr="001269BE">
        <w:rPr>
          <w:i/>
          <w:lang w:val="fr-FR"/>
        </w:rPr>
        <w:t>allo stato degli atti</w:t>
      </w:r>
      <w:r w:rsidRPr="001269BE">
        <w:rPr>
          <w:lang w:val="fr-FR"/>
        </w:rPr>
        <w:t>) lors de l</w:t>
      </w:r>
      <w:r w:rsidR="0065181A">
        <w:rPr>
          <w:lang w:val="fr-FR"/>
        </w:rPr>
        <w:t>’</w:t>
      </w:r>
      <w:r w:rsidRPr="001269BE">
        <w:rPr>
          <w:lang w:val="fr-FR"/>
        </w:rPr>
        <w:t>audience préliminaire.</w:t>
      </w:r>
      <w:r w:rsidRPr="00D078F6">
        <w:rPr>
          <w:lang w:val="fr-FR"/>
        </w:rPr>
        <w:t xml:space="preserve"> La demande peut être faite, oralement ou par écrit, tant que les conclusions n</w:t>
      </w:r>
      <w:r w:rsidR="0065181A">
        <w:rPr>
          <w:lang w:val="fr-FR"/>
        </w:rPr>
        <w:t>’</w:t>
      </w:r>
      <w:r w:rsidRPr="00D078F6">
        <w:rPr>
          <w:lang w:val="fr-FR"/>
        </w:rPr>
        <w:t>ont pas été présentées à l</w:t>
      </w:r>
      <w:r w:rsidR="0065181A">
        <w:rPr>
          <w:lang w:val="fr-FR"/>
        </w:rPr>
        <w:t>’</w:t>
      </w:r>
      <w:r w:rsidRPr="00D078F6">
        <w:rPr>
          <w:lang w:val="fr-FR"/>
        </w:rPr>
        <w:t xml:space="preserve">audience préliminaire. </w:t>
      </w:r>
      <w:r w:rsidRPr="001269BE">
        <w:rPr>
          <w:lang w:val="fr-FR"/>
        </w:rPr>
        <w:t>En cas d</w:t>
      </w:r>
      <w:r w:rsidR="0065181A">
        <w:rPr>
          <w:lang w:val="fr-FR"/>
        </w:rPr>
        <w:t>’</w:t>
      </w:r>
      <w:r w:rsidRPr="001269BE">
        <w:rPr>
          <w:lang w:val="fr-FR"/>
        </w:rPr>
        <w:t>adoption de la procédure abrégée, l</w:t>
      </w:r>
      <w:r w:rsidR="0065181A">
        <w:rPr>
          <w:lang w:val="fr-FR"/>
        </w:rPr>
        <w:t>’</w:t>
      </w:r>
      <w:r w:rsidRPr="001269BE">
        <w:rPr>
          <w:lang w:val="fr-FR"/>
        </w:rPr>
        <w:t>audience a lieu en chambre du conseil et est consacrée aux plaidoiries des parties. En principe, les parties doivent se baser sur les pièces figurant dans le dossier du parquet</w:t>
      </w:r>
      <w:r w:rsidRPr="00D078F6">
        <w:rPr>
          <w:lang w:val="fr-FR"/>
        </w:rPr>
        <w:t>, même si, à titre exceptionnel, des preuves orales peuvent être admises</w:t>
      </w:r>
      <w:r w:rsidRPr="001269BE">
        <w:rPr>
          <w:lang w:val="fr-FR"/>
        </w:rPr>
        <w:t>. En particulier, l</w:t>
      </w:r>
      <w:r w:rsidR="0065181A">
        <w:rPr>
          <w:lang w:val="fr-FR"/>
        </w:rPr>
        <w:t>’</w:t>
      </w:r>
      <w:r w:rsidRPr="001269BE">
        <w:rPr>
          <w:lang w:val="fr-FR"/>
        </w:rPr>
        <w:t>article 438 § 5 du CPP prévoit que</w:t>
      </w:r>
      <w:r w:rsidR="00C4097E">
        <w:rPr>
          <w:lang w:val="fr-FR"/>
        </w:rPr>
        <w:t> :</w:t>
      </w:r>
    </w:p>
    <w:p w:rsidR="003242D3" w:rsidRPr="001269BE" w:rsidRDefault="003242D3" w:rsidP="003242D3">
      <w:pPr>
        <w:pStyle w:val="ECHRParaQuote"/>
        <w:rPr>
          <w:lang w:val="fr-FR"/>
        </w:rPr>
      </w:pPr>
      <w:r w:rsidRPr="001269BE">
        <w:rPr>
          <w:lang w:val="fr-FR"/>
        </w:rPr>
        <w:t>« L</w:t>
      </w:r>
      <w:r w:rsidR="0065181A">
        <w:rPr>
          <w:lang w:val="fr-FR"/>
        </w:rPr>
        <w:t>’</w:t>
      </w:r>
      <w:r w:rsidRPr="00D078F6">
        <w:rPr>
          <w:lang w:val="fr-FR"/>
        </w:rPr>
        <w:t>accusé (...) peut subordonner sa demande à la production de nouvelles preuves nécessaires à la décision. Le juge adopte la procédure abrégée si la production de ces preuves est nécessaire pour la décision et compatible avec les finalités d</w:t>
      </w:r>
      <w:r w:rsidR="0065181A">
        <w:rPr>
          <w:lang w:val="fr-FR"/>
        </w:rPr>
        <w:t>’</w:t>
      </w:r>
      <w:r w:rsidRPr="00D078F6">
        <w:rPr>
          <w:lang w:val="fr-FR"/>
        </w:rPr>
        <w:t>économie propres à la procédure, compte tenu des pièces déjà recueillies et pouvant être utilisées. Dans ce cas, le ministère public peut demander l</w:t>
      </w:r>
      <w:r w:rsidR="0065181A">
        <w:rPr>
          <w:lang w:val="fr-FR"/>
        </w:rPr>
        <w:t>’</w:t>
      </w:r>
      <w:r w:rsidRPr="00D078F6">
        <w:rPr>
          <w:lang w:val="fr-FR"/>
        </w:rPr>
        <w:t>admission d</w:t>
      </w:r>
      <w:r w:rsidR="0065181A">
        <w:rPr>
          <w:lang w:val="fr-FR"/>
        </w:rPr>
        <w:t>’</w:t>
      </w:r>
      <w:r w:rsidRPr="00D078F6">
        <w:rPr>
          <w:lang w:val="fr-FR"/>
        </w:rPr>
        <w:t>une preuve contraire. (...)</w:t>
      </w:r>
      <w:r>
        <w:rPr>
          <w:lang w:val="fr-FR"/>
        </w:rPr>
        <w:t>. »</w:t>
      </w:r>
    </w:p>
    <w:p w:rsidR="003242D3" w:rsidRDefault="003242D3" w:rsidP="003242D3">
      <w:pPr>
        <w:pStyle w:val="ECHRPara"/>
        <w:rPr>
          <w:lang w:val="fr-FR"/>
        </w:rPr>
      </w:pPr>
      <w:bookmarkStart w:id="13" w:name="giudizioabbreviato2"/>
      <w:r>
        <w:rPr>
          <w:lang w:val="fr-FR"/>
        </w:rPr>
        <w:t>27</w:t>
      </w:r>
      <w:bookmarkEnd w:id="13"/>
      <w:r>
        <w:rPr>
          <w:lang w:val="fr-FR"/>
        </w:rPr>
        <w:t>.  </w:t>
      </w:r>
      <w:r w:rsidRPr="001269BE">
        <w:rPr>
          <w:lang w:val="fr-FR"/>
        </w:rPr>
        <w:t>Si le juge décide de condamner l</w:t>
      </w:r>
      <w:r w:rsidR="0065181A">
        <w:rPr>
          <w:lang w:val="fr-FR"/>
        </w:rPr>
        <w:t>’</w:t>
      </w:r>
      <w:r w:rsidRPr="001269BE">
        <w:rPr>
          <w:lang w:val="fr-FR"/>
        </w:rPr>
        <w:t>accusé, la peine infligée est réduite d</w:t>
      </w:r>
      <w:r w:rsidR="0065181A">
        <w:rPr>
          <w:lang w:val="fr-FR"/>
        </w:rPr>
        <w:t>’</w:t>
      </w:r>
      <w:r w:rsidRPr="001269BE">
        <w:rPr>
          <w:lang w:val="fr-FR"/>
        </w:rPr>
        <w:t xml:space="preserve">un tiers (article 442 § 2). Les dispositions internes pertinentes sont </w:t>
      </w:r>
      <w:r w:rsidRPr="00D078F6">
        <w:rPr>
          <w:lang w:val="fr-FR"/>
        </w:rPr>
        <w:t>décrites dans l</w:t>
      </w:r>
      <w:r w:rsidR="0065181A">
        <w:rPr>
          <w:lang w:val="fr-FR"/>
        </w:rPr>
        <w:t>’</w:t>
      </w:r>
      <w:r w:rsidRPr="00D078F6">
        <w:rPr>
          <w:lang w:val="fr-FR"/>
        </w:rPr>
        <w:t xml:space="preserve">arrêt </w:t>
      </w:r>
      <w:r w:rsidRPr="00D078F6">
        <w:rPr>
          <w:i/>
          <w:lang w:val="fr-FR"/>
        </w:rPr>
        <w:t>Hermi c.</w:t>
      </w:r>
      <w:r>
        <w:rPr>
          <w:i/>
          <w:lang w:val="fr-FR"/>
        </w:rPr>
        <w:t xml:space="preserve"> </w:t>
      </w:r>
      <w:r w:rsidRPr="00D078F6">
        <w:rPr>
          <w:i/>
          <w:lang w:val="fr-FR"/>
        </w:rPr>
        <w:t xml:space="preserve">Italie </w:t>
      </w:r>
      <w:r w:rsidRPr="00D078F6">
        <w:rPr>
          <w:lang w:val="fr-FR"/>
        </w:rPr>
        <w:t>([GC], n</w:t>
      </w:r>
      <w:r w:rsidRPr="00D078F6">
        <w:rPr>
          <w:vertAlign w:val="superscript"/>
          <w:lang w:val="fr-FR"/>
        </w:rPr>
        <w:t>o</w:t>
      </w:r>
      <w:r>
        <w:rPr>
          <w:vertAlign w:val="superscript"/>
          <w:lang w:val="fr-FR"/>
        </w:rPr>
        <w:t xml:space="preserve"> </w:t>
      </w:r>
      <w:r>
        <w:rPr>
          <w:lang w:val="fr-FR"/>
        </w:rPr>
        <w:t>18114/02, §§ 27-28, CEDH </w:t>
      </w:r>
      <w:r w:rsidRPr="00D078F6">
        <w:rPr>
          <w:lang w:val="fr-FR"/>
        </w:rPr>
        <w:t>2006</w:t>
      </w:r>
      <w:r w:rsidRPr="00D078F6">
        <w:rPr>
          <w:lang w:val="fr-FR"/>
        </w:rPr>
        <w:noBreakHyphen/>
      </w:r>
      <w:r>
        <w:rPr>
          <w:lang w:val="fr-FR"/>
        </w:rPr>
        <w:t xml:space="preserve">XII ; voir également </w:t>
      </w:r>
      <w:r w:rsidRPr="00D078F6">
        <w:rPr>
          <w:i/>
          <w:lang w:val="fr-FR"/>
        </w:rPr>
        <w:t xml:space="preserve">Fera c. </w:t>
      </w:r>
      <w:r>
        <w:rPr>
          <w:i/>
          <w:lang w:val="fr-FR"/>
        </w:rPr>
        <w:t>Italie</w:t>
      </w:r>
      <w:r>
        <w:rPr>
          <w:lang w:val="fr-FR"/>
        </w:rPr>
        <w:t>,</w:t>
      </w:r>
      <w:r w:rsidRPr="00D078F6">
        <w:rPr>
          <w:lang w:val="fr-FR"/>
        </w:rPr>
        <w:t xml:space="preserve"> n</w:t>
      </w:r>
      <w:r w:rsidRPr="00D078F6">
        <w:rPr>
          <w:vertAlign w:val="superscript"/>
          <w:lang w:val="fr-FR"/>
        </w:rPr>
        <w:t>o</w:t>
      </w:r>
      <w:r w:rsidRPr="00D078F6">
        <w:rPr>
          <w:lang w:val="fr-FR"/>
        </w:rPr>
        <w:t xml:space="preserve"> 45057/98, </w:t>
      </w:r>
      <w:r>
        <w:rPr>
          <w:lang w:val="fr-FR"/>
        </w:rPr>
        <w:t>§§ 30-34, 21 </w:t>
      </w:r>
      <w:r w:rsidRPr="00D078F6">
        <w:rPr>
          <w:lang w:val="fr-FR"/>
        </w:rPr>
        <w:t>avril 2005</w:t>
      </w:r>
      <w:r>
        <w:rPr>
          <w:lang w:val="fr-FR"/>
        </w:rPr>
        <w:t>, et</w:t>
      </w:r>
      <w:r w:rsidRPr="00183752">
        <w:rPr>
          <w:lang w:val="fr-FR"/>
        </w:rPr>
        <w:t xml:space="preserve"> </w:t>
      </w:r>
      <w:r w:rsidRPr="00183752">
        <w:rPr>
          <w:i/>
          <w:lang w:val="fr-FR"/>
        </w:rPr>
        <w:t>Scoppola c.</w:t>
      </w:r>
      <w:r>
        <w:rPr>
          <w:i/>
          <w:lang w:val="fr-FR"/>
        </w:rPr>
        <w:t xml:space="preserve"> </w:t>
      </w:r>
      <w:r w:rsidRPr="00183752">
        <w:rPr>
          <w:i/>
          <w:lang w:val="fr-FR"/>
        </w:rPr>
        <w:t>Italie (n</w:t>
      </w:r>
      <w:r w:rsidRPr="00421F1F">
        <w:rPr>
          <w:i/>
          <w:vertAlign w:val="superscript"/>
          <w:lang w:val="fr-FR"/>
        </w:rPr>
        <w:t>o</w:t>
      </w:r>
      <w:r w:rsidRPr="00183752">
        <w:rPr>
          <w:i/>
          <w:lang w:val="fr-FR"/>
        </w:rPr>
        <w:t xml:space="preserve"> 2)</w:t>
      </w:r>
      <w:r w:rsidRPr="00183752">
        <w:rPr>
          <w:lang w:val="fr-FR"/>
        </w:rPr>
        <w:t xml:space="preserve"> [GC], n</w:t>
      </w:r>
      <w:r w:rsidRPr="00421F1F">
        <w:rPr>
          <w:vertAlign w:val="superscript"/>
          <w:lang w:val="fr-FR"/>
        </w:rPr>
        <w:t>o</w:t>
      </w:r>
      <w:r>
        <w:rPr>
          <w:lang w:val="fr-FR"/>
        </w:rPr>
        <w:t xml:space="preserve"> 10249/03</w:t>
      </w:r>
      <w:r w:rsidRPr="00183752">
        <w:rPr>
          <w:lang w:val="fr-FR"/>
        </w:rPr>
        <w:t>, §§ 27-28, 17</w:t>
      </w:r>
      <w:r>
        <w:rPr>
          <w:lang w:val="fr-FR"/>
        </w:rPr>
        <w:t> </w:t>
      </w:r>
      <w:r w:rsidRPr="00183752">
        <w:rPr>
          <w:lang w:val="fr-FR"/>
        </w:rPr>
        <w:t>septembre 2009</w:t>
      </w:r>
      <w:r>
        <w:rPr>
          <w:lang w:val="fr-FR"/>
        </w:rPr>
        <w:t>).</w:t>
      </w:r>
    </w:p>
    <w:p w:rsidR="003242D3" w:rsidRDefault="003242D3" w:rsidP="003242D3">
      <w:pPr>
        <w:pStyle w:val="ECHRHeading3"/>
        <w:rPr>
          <w:lang w:val="fr-FR"/>
        </w:rPr>
      </w:pPr>
      <w:r>
        <w:rPr>
          <w:lang w:val="fr-FR"/>
        </w:rPr>
        <w:t>2.  L</w:t>
      </w:r>
      <w:r w:rsidR="0065181A">
        <w:rPr>
          <w:lang w:val="fr-FR"/>
        </w:rPr>
        <w:t>’</w:t>
      </w:r>
      <w:r>
        <w:rPr>
          <w:lang w:val="fr-FR"/>
        </w:rPr>
        <w:t>infraction « continuée »</w:t>
      </w:r>
    </w:p>
    <w:p w:rsidR="003242D3" w:rsidRDefault="003242D3" w:rsidP="003242D3">
      <w:pPr>
        <w:pStyle w:val="ECHRPara"/>
        <w:rPr>
          <w:lang w:val="fr-FR"/>
        </w:rPr>
      </w:pPr>
      <w:bookmarkStart w:id="14" w:name="continuazione"/>
      <w:r>
        <w:rPr>
          <w:lang w:val="fr-FR"/>
        </w:rPr>
        <w:t>28</w:t>
      </w:r>
      <w:bookmarkEnd w:id="14"/>
      <w:r>
        <w:rPr>
          <w:lang w:val="fr-FR"/>
        </w:rPr>
        <w:t>.  L</w:t>
      </w:r>
      <w:r w:rsidR="0065181A">
        <w:rPr>
          <w:lang w:val="fr-FR"/>
        </w:rPr>
        <w:t>’</w:t>
      </w:r>
      <w:r>
        <w:rPr>
          <w:lang w:val="fr-FR"/>
        </w:rPr>
        <w:t xml:space="preserve">article 81 § 2 du code pénal (le « CP »), prévoit des règles particulières pour la fixation de la peine pour les infractions dites </w:t>
      </w:r>
      <w:r>
        <w:rPr>
          <w:lang w:val="fr-FR"/>
        </w:rPr>
        <w:lastRenderedPageBreak/>
        <w:t>« continuées » (</w:t>
      </w:r>
      <w:r>
        <w:rPr>
          <w:i/>
          <w:lang w:val="fr-FR"/>
        </w:rPr>
        <w:t>reati continuati</w:t>
      </w:r>
      <w:r>
        <w:rPr>
          <w:lang w:val="fr-FR"/>
        </w:rPr>
        <w:t xml:space="preserve">). </w:t>
      </w:r>
      <w:r w:rsidRPr="009D717B">
        <w:rPr>
          <w:lang w:val="fr-FR"/>
        </w:rPr>
        <w:t xml:space="preserve">Notamment, on applique la </w:t>
      </w:r>
      <w:r>
        <w:rPr>
          <w:lang w:val="fr-FR"/>
        </w:rPr>
        <w:t>« </w:t>
      </w:r>
      <w:r w:rsidRPr="009D717B">
        <w:rPr>
          <w:lang w:val="fr-FR"/>
        </w:rPr>
        <w:t>peine qu</w:t>
      </w:r>
      <w:r w:rsidR="0065181A">
        <w:rPr>
          <w:lang w:val="fr-FR"/>
        </w:rPr>
        <w:t>’</w:t>
      </w:r>
      <w:r w:rsidRPr="009D717B">
        <w:rPr>
          <w:lang w:val="fr-FR"/>
        </w:rPr>
        <w:t>on devrait infliger pour la violation plus grave</w:t>
      </w:r>
      <w:r>
        <w:rPr>
          <w:lang w:val="fr-FR"/>
        </w:rPr>
        <w:t>,</w:t>
      </w:r>
      <w:r w:rsidRPr="009D717B">
        <w:rPr>
          <w:lang w:val="fr-FR"/>
        </w:rPr>
        <w:t xml:space="preserve"> augmentée jus</w:t>
      </w:r>
      <w:r>
        <w:rPr>
          <w:lang w:val="fr-FR"/>
        </w:rPr>
        <w:t>q</w:t>
      </w:r>
      <w:r w:rsidRPr="009D717B">
        <w:rPr>
          <w:lang w:val="fr-FR"/>
        </w:rPr>
        <w:t>u</w:t>
      </w:r>
      <w:r w:rsidR="0065181A">
        <w:rPr>
          <w:lang w:val="fr-FR"/>
        </w:rPr>
        <w:t>’</w:t>
      </w:r>
      <w:r>
        <w:rPr>
          <w:lang w:val="fr-FR"/>
        </w:rPr>
        <w:t>à son</w:t>
      </w:r>
      <w:r w:rsidRPr="009D717B">
        <w:rPr>
          <w:lang w:val="fr-FR"/>
        </w:rPr>
        <w:t xml:space="preserve"> triple</w:t>
      </w:r>
      <w:r>
        <w:rPr>
          <w:lang w:val="fr-FR"/>
        </w:rPr>
        <w:t> »</w:t>
      </w:r>
      <w:r w:rsidRPr="009D717B">
        <w:rPr>
          <w:lang w:val="fr-FR"/>
        </w:rPr>
        <w:t xml:space="preserve"> à </w:t>
      </w:r>
      <w:r>
        <w:rPr>
          <w:lang w:val="fr-FR"/>
        </w:rPr>
        <w:t>toute personne</w:t>
      </w:r>
      <w:r w:rsidRPr="009D717B">
        <w:rPr>
          <w:lang w:val="fr-FR"/>
        </w:rPr>
        <w:t xml:space="preserve"> qui </w:t>
      </w:r>
      <w:r>
        <w:rPr>
          <w:lang w:val="fr-FR"/>
        </w:rPr>
        <w:t>« </w:t>
      </w:r>
      <w:r w:rsidRPr="009D717B">
        <w:rPr>
          <w:lang w:val="fr-FR"/>
        </w:rPr>
        <w:t xml:space="preserve">avec plusieurs actions ou omissions, </w:t>
      </w:r>
      <w:r>
        <w:rPr>
          <w:lang w:val="fr-FR"/>
        </w:rPr>
        <w:t xml:space="preserve">en </w:t>
      </w:r>
      <w:r w:rsidRPr="009D717B">
        <w:rPr>
          <w:lang w:val="fr-FR"/>
        </w:rPr>
        <w:t>exécuti</w:t>
      </w:r>
      <w:r>
        <w:rPr>
          <w:lang w:val="fr-FR"/>
        </w:rPr>
        <w:t>on</w:t>
      </w:r>
      <w:r w:rsidRPr="009D717B">
        <w:rPr>
          <w:lang w:val="fr-FR"/>
        </w:rPr>
        <w:t xml:space="preserve"> d</w:t>
      </w:r>
      <w:r w:rsidR="0065181A">
        <w:rPr>
          <w:lang w:val="fr-FR"/>
        </w:rPr>
        <w:t>’</w:t>
      </w:r>
      <w:r w:rsidRPr="009D717B">
        <w:rPr>
          <w:lang w:val="fr-FR"/>
        </w:rPr>
        <w:t>un m</w:t>
      </w:r>
      <w:r>
        <w:rPr>
          <w:lang w:val="fr-FR"/>
        </w:rPr>
        <w:t>ême dessin criminel (</w:t>
      </w:r>
      <w:r>
        <w:rPr>
          <w:i/>
          <w:lang w:val="fr-FR"/>
        </w:rPr>
        <w:t>esecutive di un medesimo disegno criminoso</w:t>
      </w:r>
      <w:r>
        <w:rPr>
          <w:lang w:val="fr-FR"/>
        </w:rPr>
        <w:t>), commet, même à des moments différents, plusieurs violations de la même ou des différentes dispositions de la loi »</w:t>
      </w:r>
      <w:r w:rsidR="006F328F">
        <w:rPr>
          <w:lang w:val="fr-FR"/>
        </w:rPr>
        <w:t>.</w:t>
      </w:r>
    </w:p>
    <w:p w:rsidR="003242D3" w:rsidRPr="00457ABC" w:rsidRDefault="003242D3" w:rsidP="003242D3">
      <w:pPr>
        <w:pStyle w:val="ECHRPara"/>
        <w:rPr>
          <w:lang w:val="fr-FR"/>
        </w:rPr>
      </w:pPr>
      <w:r>
        <w:rPr>
          <w:lang w:val="fr-FR"/>
        </w:rPr>
        <w:t>29.  Pour des éléments de droit international et comparé (y compris de droit italien) en matière d</w:t>
      </w:r>
      <w:r w:rsidR="0065181A">
        <w:rPr>
          <w:lang w:val="fr-FR"/>
        </w:rPr>
        <w:t>’</w:t>
      </w:r>
      <w:r>
        <w:rPr>
          <w:lang w:val="fr-FR"/>
        </w:rPr>
        <w:t xml:space="preserve">infraction « continuée », voir </w:t>
      </w:r>
      <w:r w:rsidRPr="00457ABC">
        <w:rPr>
          <w:i/>
          <w:lang w:val="fr-FR" w:eastAsia="fr-FR"/>
        </w:rPr>
        <w:t>Rohlena c.</w:t>
      </w:r>
      <w:r>
        <w:rPr>
          <w:i/>
          <w:lang w:val="fr-FR" w:eastAsia="fr-FR"/>
        </w:rPr>
        <w:t> </w:t>
      </w:r>
      <w:r w:rsidRPr="00457ABC">
        <w:rPr>
          <w:i/>
          <w:lang w:val="fr-FR" w:eastAsia="fr-FR"/>
        </w:rPr>
        <w:t>R</w:t>
      </w:r>
      <w:r>
        <w:rPr>
          <w:i/>
          <w:lang w:val="fr-FR" w:eastAsia="fr-FR"/>
        </w:rPr>
        <w:t>é</w:t>
      </w:r>
      <w:r w:rsidRPr="00457ABC">
        <w:rPr>
          <w:i/>
          <w:lang w:val="fr-FR" w:eastAsia="fr-FR"/>
        </w:rPr>
        <w:t>publ</w:t>
      </w:r>
      <w:r>
        <w:rPr>
          <w:i/>
          <w:lang w:val="fr-FR" w:eastAsia="fr-FR"/>
        </w:rPr>
        <w:t>ique</w:t>
      </w:r>
      <w:r w:rsidRPr="00457ABC">
        <w:rPr>
          <w:i/>
          <w:lang w:val="fr-FR" w:eastAsia="fr-FR"/>
        </w:rPr>
        <w:t xml:space="preserve"> </w:t>
      </w:r>
      <w:r>
        <w:rPr>
          <w:i/>
          <w:lang w:val="fr-FR" w:eastAsia="fr-FR"/>
        </w:rPr>
        <w:t>Tchèque</w:t>
      </w:r>
      <w:r w:rsidRPr="00457ABC">
        <w:rPr>
          <w:lang w:val="fr-FR" w:eastAsia="fr-FR"/>
        </w:rPr>
        <w:t xml:space="preserve"> [GC], n</w:t>
      </w:r>
      <w:r w:rsidRPr="003242D3">
        <w:rPr>
          <w:vertAlign w:val="superscript"/>
          <w:lang w:val="fr-FR" w:eastAsia="fr-FR"/>
        </w:rPr>
        <w:t>o</w:t>
      </w:r>
      <w:r w:rsidRPr="00457ABC">
        <w:rPr>
          <w:lang w:val="fr-FR" w:eastAsia="fr-FR"/>
        </w:rPr>
        <w:t xml:space="preserve"> 59552/08,</w:t>
      </w:r>
      <w:r>
        <w:rPr>
          <w:lang w:val="fr-FR" w:eastAsia="fr-FR"/>
        </w:rPr>
        <w:t xml:space="preserve"> §§ 28-40,</w:t>
      </w:r>
      <w:r w:rsidRPr="00457ABC">
        <w:rPr>
          <w:lang w:val="fr-FR" w:eastAsia="fr-FR"/>
        </w:rPr>
        <w:t xml:space="preserve"> 27 </w:t>
      </w:r>
      <w:r>
        <w:rPr>
          <w:lang w:val="fr-FR" w:eastAsia="fr-FR"/>
        </w:rPr>
        <w:t>janvier</w:t>
      </w:r>
      <w:r w:rsidRPr="00457ABC">
        <w:rPr>
          <w:lang w:val="fr-FR" w:eastAsia="fr-FR"/>
        </w:rPr>
        <w:t xml:space="preserve"> 2015</w:t>
      </w:r>
      <w:r>
        <w:rPr>
          <w:lang w:val="fr-FR" w:eastAsia="fr-FR"/>
        </w:rPr>
        <w:t>.</w:t>
      </w:r>
    </w:p>
    <w:p w:rsidR="003242D3" w:rsidRPr="00E21176" w:rsidRDefault="003242D3" w:rsidP="003242D3">
      <w:pPr>
        <w:pStyle w:val="ECHRTitle1"/>
        <w:rPr>
          <w:lang w:val="fr-FR"/>
        </w:rPr>
      </w:pPr>
      <w:r w:rsidRPr="00E21176">
        <w:rPr>
          <w:lang w:val="fr-FR"/>
        </w:rPr>
        <w:t>GRIEFS</w:t>
      </w:r>
    </w:p>
    <w:p w:rsidR="003242D3" w:rsidRDefault="003242D3" w:rsidP="003242D3">
      <w:pPr>
        <w:pStyle w:val="ECHRPara"/>
        <w:rPr>
          <w:lang w:val="fr-FR"/>
        </w:rPr>
      </w:pPr>
      <w:r>
        <w:rPr>
          <w:lang w:val="fr-FR"/>
        </w:rPr>
        <w:t>30.  </w:t>
      </w:r>
      <w:r w:rsidRPr="00E21176">
        <w:rPr>
          <w:lang w:val="fr-FR"/>
        </w:rPr>
        <w:t>Invoquant l</w:t>
      </w:r>
      <w:r w:rsidR="0065181A">
        <w:rPr>
          <w:lang w:val="fr-FR"/>
        </w:rPr>
        <w:t>’</w:t>
      </w:r>
      <w:r w:rsidRPr="00E21176">
        <w:rPr>
          <w:lang w:val="fr-FR"/>
        </w:rPr>
        <w:t xml:space="preserve">article </w:t>
      </w:r>
      <w:r>
        <w:rPr>
          <w:lang w:val="fr-FR"/>
        </w:rPr>
        <w:t>6</w:t>
      </w:r>
      <w:r w:rsidRPr="00E21176">
        <w:rPr>
          <w:lang w:val="fr-FR"/>
        </w:rPr>
        <w:t xml:space="preserve"> de la Convention, le requérant se plaint d</w:t>
      </w:r>
      <w:r w:rsidR="0065181A">
        <w:rPr>
          <w:lang w:val="fr-FR"/>
        </w:rPr>
        <w:t>’</w:t>
      </w:r>
      <w:r>
        <w:rPr>
          <w:lang w:val="fr-FR"/>
        </w:rPr>
        <w:t>un manque d</w:t>
      </w:r>
      <w:r w:rsidR="0065181A">
        <w:rPr>
          <w:lang w:val="fr-FR"/>
        </w:rPr>
        <w:t>’</w:t>
      </w:r>
      <w:r>
        <w:rPr>
          <w:lang w:val="fr-FR"/>
        </w:rPr>
        <w:t>équité de la procédure pénale dirigée à son encontre et d</w:t>
      </w:r>
      <w:r w:rsidR="0065181A">
        <w:rPr>
          <w:lang w:val="fr-FR"/>
        </w:rPr>
        <w:t>’</w:t>
      </w:r>
      <w:r>
        <w:rPr>
          <w:lang w:val="fr-FR"/>
        </w:rPr>
        <w:t>un manque d</w:t>
      </w:r>
      <w:r w:rsidR="0065181A">
        <w:rPr>
          <w:lang w:val="fr-FR"/>
        </w:rPr>
        <w:t>’</w:t>
      </w:r>
      <w:r>
        <w:rPr>
          <w:lang w:val="fr-FR"/>
        </w:rPr>
        <w:t>impartialité des juridictions nationales</w:t>
      </w:r>
      <w:r w:rsidRPr="00E21176">
        <w:rPr>
          <w:lang w:val="fr-FR"/>
        </w:rPr>
        <w:t>.</w:t>
      </w:r>
    </w:p>
    <w:p w:rsidR="003242D3" w:rsidRPr="00E21176" w:rsidRDefault="003242D3" w:rsidP="003242D3">
      <w:pPr>
        <w:pStyle w:val="ECHRPara"/>
        <w:rPr>
          <w:lang w:val="fr-FR"/>
        </w:rPr>
      </w:pPr>
      <w:r>
        <w:rPr>
          <w:lang w:val="fr-FR"/>
        </w:rPr>
        <w:t>31.  Invoquant l</w:t>
      </w:r>
      <w:r w:rsidR="0065181A">
        <w:rPr>
          <w:lang w:val="fr-FR"/>
        </w:rPr>
        <w:t>’</w:t>
      </w:r>
      <w:r>
        <w:rPr>
          <w:lang w:val="fr-FR"/>
        </w:rPr>
        <w:t>article 13 de la Convention, le requérant se plaint de ne pas avoir disposé, en droit italien, d</w:t>
      </w:r>
      <w:r w:rsidR="0065181A">
        <w:rPr>
          <w:lang w:val="fr-FR"/>
        </w:rPr>
        <w:t>’</w:t>
      </w:r>
      <w:r>
        <w:rPr>
          <w:lang w:val="fr-FR"/>
        </w:rPr>
        <w:t>un recours effectif pour faire valoir ses griefs tirés de l</w:t>
      </w:r>
      <w:r w:rsidR="0065181A">
        <w:rPr>
          <w:lang w:val="fr-FR"/>
        </w:rPr>
        <w:t>’</w:t>
      </w:r>
      <w:r>
        <w:rPr>
          <w:lang w:val="fr-FR"/>
        </w:rPr>
        <w:t>article 6.</w:t>
      </w:r>
    </w:p>
    <w:p w:rsidR="003242D3" w:rsidRPr="00E21176" w:rsidRDefault="003242D3" w:rsidP="003242D3">
      <w:pPr>
        <w:pStyle w:val="ECHRTitle1"/>
        <w:rPr>
          <w:lang w:val="fr-FR"/>
        </w:rPr>
      </w:pPr>
      <w:r w:rsidRPr="00E21176">
        <w:rPr>
          <w:lang w:val="fr-FR"/>
        </w:rPr>
        <w:t>EN DROIT</w:t>
      </w:r>
    </w:p>
    <w:p w:rsidR="003242D3" w:rsidRDefault="003242D3" w:rsidP="003242D3">
      <w:pPr>
        <w:pStyle w:val="ECHRHeading2"/>
        <w:rPr>
          <w:lang w:val="fr-FR"/>
        </w:rPr>
      </w:pPr>
      <w:r>
        <w:rPr>
          <w:lang w:val="fr-FR"/>
        </w:rPr>
        <w:t>A.  Griefs tirés de l</w:t>
      </w:r>
      <w:r w:rsidR="0065181A">
        <w:rPr>
          <w:lang w:val="fr-FR"/>
        </w:rPr>
        <w:t>’</w:t>
      </w:r>
      <w:r>
        <w:rPr>
          <w:lang w:val="fr-FR"/>
        </w:rPr>
        <w:t>article 6 de la Convention</w:t>
      </w:r>
    </w:p>
    <w:p w:rsidR="003242D3" w:rsidRDefault="003242D3" w:rsidP="003242D3">
      <w:pPr>
        <w:pStyle w:val="ECHRPara"/>
        <w:rPr>
          <w:lang w:val="fr-FR"/>
        </w:rPr>
      </w:pPr>
      <w:r>
        <w:rPr>
          <w:lang w:val="fr-FR"/>
        </w:rPr>
        <w:t>32.  L</w:t>
      </w:r>
      <w:r w:rsidRPr="004C7DAA">
        <w:rPr>
          <w:lang w:val="fr-FR"/>
        </w:rPr>
        <w:t xml:space="preserve">e requérant </w:t>
      </w:r>
      <w:r>
        <w:rPr>
          <w:lang w:val="fr-FR"/>
        </w:rPr>
        <w:t>considère que la procédure pénale dirigée à son encontre n</w:t>
      </w:r>
      <w:r w:rsidR="0065181A">
        <w:rPr>
          <w:lang w:val="fr-FR"/>
        </w:rPr>
        <w:t>’</w:t>
      </w:r>
      <w:r>
        <w:rPr>
          <w:lang w:val="fr-FR"/>
        </w:rPr>
        <w:t>a pas été équitable et que les juridictions nationales n</w:t>
      </w:r>
      <w:r w:rsidR="0065181A">
        <w:rPr>
          <w:lang w:val="fr-FR"/>
        </w:rPr>
        <w:t>’</w:t>
      </w:r>
      <w:r>
        <w:rPr>
          <w:lang w:val="fr-FR"/>
        </w:rPr>
        <w:t>étaient pas impartiales.</w:t>
      </w:r>
    </w:p>
    <w:p w:rsidR="003242D3" w:rsidRDefault="003242D3" w:rsidP="003242D3">
      <w:pPr>
        <w:pStyle w:val="ECHRPara"/>
        <w:rPr>
          <w:lang w:val="fr-FR"/>
        </w:rPr>
      </w:pPr>
      <w:r>
        <w:rPr>
          <w:lang w:val="fr-FR"/>
        </w:rPr>
        <w:t>Il invoque l</w:t>
      </w:r>
      <w:r w:rsidR="0065181A">
        <w:rPr>
          <w:lang w:val="fr-FR"/>
        </w:rPr>
        <w:t>’</w:t>
      </w:r>
      <w:r>
        <w:rPr>
          <w:lang w:val="fr-FR"/>
        </w:rPr>
        <w:t>article 6 de la Convention, qui, en ses parties pertinentes, est ainsi libellé :</w:t>
      </w:r>
    </w:p>
    <w:p w:rsidR="003242D3" w:rsidRPr="00023F94" w:rsidRDefault="003242D3" w:rsidP="003242D3">
      <w:pPr>
        <w:pStyle w:val="ECHRParaQuote"/>
        <w:rPr>
          <w:lang w:val="fr-FR"/>
        </w:rPr>
      </w:pPr>
      <w:r w:rsidRPr="00023F94">
        <w:rPr>
          <w:lang w:val="fr-FR"/>
        </w:rPr>
        <w:t>« 1.  Toute personne a droit à ce que sa cause soit entendue équitablement</w:t>
      </w:r>
      <w:r>
        <w:rPr>
          <w:lang w:val="fr-FR"/>
        </w:rPr>
        <w:t xml:space="preserve"> (...)</w:t>
      </w:r>
      <w:r w:rsidRPr="00023F94">
        <w:rPr>
          <w:lang w:val="fr-FR"/>
        </w:rPr>
        <w:t xml:space="preserve"> par un tribunal indépendant et impartial</w:t>
      </w:r>
      <w:r>
        <w:rPr>
          <w:lang w:val="fr-FR"/>
        </w:rPr>
        <w:t xml:space="preserve"> (...)</w:t>
      </w:r>
      <w:r w:rsidRPr="00023F94">
        <w:rPr>
          <w:lang w:val="fr-FR"/>
        </w:rPr>
        <w:t xml:space="preserve"> qui décidera</w:t>
      </w:r>
      <w:r>
        <w:rPr>
          <w:lang w:val="fr-FR"/>
        </w:rPr>
        <w:t xml:space="preserve"> (...)</w:t>
      </w:r>
      <w:r w:rsidRPr="00023F94">
        <w:rPr>
          <w:lang w:val="fr-FR"/>
        </w:rPr>
        <w:t xml:space="preserve"> du bien-fondé de toute accusation en matière pénale dirigée contre elle. </w:t>
      </w:r>
      <w:r>
        <w:rPr>
          <w:lang w:val="fr-FR"/>
        </w:rPr>
        <w:t>(...)</w:t>
      </w:r>
      <w:r w:rsidRPr="00023F94">
        <w:rPr>
          <w:lang w:val="fr-FR"/>
        </w:rPr>
        <w:t>.</w:t>
      </w:r>
    </w:p>
    <w:p w:rsidR="003242D3" w:rsidRPr="00023F94" w:rsidRDefault="003242D3" w:rsidP="003242D3">
      <w:pPr>
        <w:pStyle w:val="ECHRParaQuote"/>
        <w:rPr>
          <w:lang w:val="fr-FR"/>
        </w:rPr>
      </w:pPr>
      <w:r w:rsidRPr="00023F94">
        <w:rPr>
          <w:lang w:val="fr-FR"/>
        </w:rPr>
        <w:t>2.  Toute personne accusée d</w:t>
      </w:r>
      <w:r w:rsidR="0065181A">
        <w:rPr>
          <w:lang w:val="fr-FR"/>
        </w:rPr>
        <w:t>’</w:t>
      </w:r>
      <w:r w:rsidRPr="00023F94">
        <w:rPr>
          <w:lang w:val="fr-FR"/>
        </w:rPr>
        <w:t>une infraction est présumée innocente jusqu</w:t>
      </w:r>
      <w:r w:rsidR="0065181A">
        <w:rPr>
          <w:lang w:val="fr-FR"/>
        </w:rPr>
        <w:t>’</w:t>
      </w:r>
      <w:r w:rsidRPr="00023F94">
        <w:rPr>
          <w:lang w:val="fr-FR"/>
        </w:rPr>
        <w:t>à ce que sa culpabilité ait été légalement établie.</w:t>
      </w:r>
    </w:p>
    <w:p w:rsidR="003242D3" w:rsidRPr="00023F94" w:rsidRDefault="003242D3" w:rsidP="003242D3">
      <w:pPr>
        <w:pStyle w:val="ECHRParaQuote"/>
        <w:rPr>
          <w:lang w:val="fr-FR"/>
        </w:rPr>
      </w:pPr>
      <w:r w:rsidRPr="00023F94">
        <w:rPr>
          <w:lang w:val="fr-FR"/>
        </w:rPr>
        <w:t>3.  Tout accusé a droit notamment à :</w:t>
      </w:r>
    </w:p>
    <w:p w:rsidR="003242D3" w:rsidRPr="00023F94" w:rsidRDefault="003242D3" w:rsidP="003242D3">
      <w:pPr>
        <w:pStyle w:val="ECHRParaQuote"/>
        <w:rPr>
          <w:lang w:val="fr-FR"/>
        </w:rPr>
      </w:pPr>
      <w:r>
        <w:rPr>
          <w:lang w:val="fr-FR"/>
        </w:rPr>
        <w:t>(...) ;</w:t>
      </w:r>
    </w:p>
    <w:p w:rsidR="003242D3" w:rsidRPr="00023F94" w:rsidRDefault="003242D3" w:rsidP="003242D3">
      <w:pPr>
        <w:pStyle w:val="ECHRParaQuote"/>
        <w:rPr>
          <w:lang w:val="fr-FR"/>
        </w:rPr>
      </w:pPr>
      <w:r w:rsidRPr="00023F94">
        <w:rPr>
          <w:lang w:val="fr-FR"/>
        </w:rPr>
        <w:t>d)  interroger ou faire interroger les témoins à charge et obtenir la convocation et l</w:t>
      </w:r>
      <w:r w:rsidR="0065181A">
        <w:rPr>
          <w:lang w:val="fr-FR"/>
        </w:rPr>
        <w:t>’</w:t>
      </w:r>
      <w:r w:rsidRPr="00023F94">
        <w:rPr>
          <w:lang w:val="fr-FR"/>
        </w:rPr>
        <w:t>interrogation des témoins à décharge dans les mêmes conditions que les témoins à charge ;</w:t>
      </w:r>
    </w:p>
    <w:p w:rsidR="003242D3" w:rsidRPr="00023F94" w:rsidRDefault="003242D3" w:rsidP="003242D3">
      <w:pPr>
        <w:pStyle w:val="ECHRParaQuote"/>
        <w:rPr>
          <w:lang w:val="fr-FR"/>
        </w:rPr>
      </w:pPr>
      <w:r>
        <w:rPr>
          <w:lang w:val="fr-FR"/>
        </w:rPr>
        <w:t>(...)</w:t>
      </w:r>
      <w:r w:rsidRPr="00023F94">
        <w:rPr>
          <w:lang w:val="fr-FR"/>
        </w:rPr>
        <w:t>. »</w:t>
      </w:r>
    </w:p>
    <w:p w:rsidR="003242D3" w:rsidRDefault="003242D3" w:rsidP="003242D3">
      <w:pPr>
        <w:pStyle w:val="ECHRPara"/>
        <w:rPr>
          <w:lang w:val="fr-FR"/>
        </w:rPr>
      </w:pPr>
      <w:r>
        <w:rPr>
          <w:lang w:val="fr-FR"/>
        </w:rPr>
        <w:lastRenderedPageBreak/>
        <w:t>33.  </w:t>
      </w:r>
      <w:r w:rsidRPr="0054100B">
        <w:rPr>
          <w:lang w:val="fr-FR"/>
        </w:rPr>
        <w:t>La Cour rappelle que les exigences d</w:t>
      </w:r>
      <w:r>
        <w:rPr>
          <w:lang w:val="fr-FR"/>
        </w:rPr>
        <w:t>es</w:t>
      </w:r>
      <w:r w:rsidRPr="0054100B">
        <w:rPr>
          <w:lang w:val="fr-FR"/>
        </w:rPr>
        <w:t xml:space="preserve"> paragraphe</w:t>
      </w:r>
      <w:r>
        <w:rPr>
          <w:lang w:val="fr-FR"/>
        </w:rPr>
        <w:t>s 2 et</w:t>
      </w:r>
      <w:r w:rsidRPr="0054100B">
        <w:rPr>
          <w:lang w:val="fr-FR"/>
        </w:rPr>
        <w:t xml:space="preserve"> 3 de l</w:t>
      </w:r>
      <w:r w:rsidR="0065181A">
        <w:rPr>
          <w:lang w:val="fr-FR"/>
        </w:rPr>
        <w:t>’</w:t>
      </w:r>
      <w:r w:rsidRPr="0054100B">
        <w:rPr>
          <w:lang w:val="fr-FR"/>
        </w:rPr>
        <w:t>article</w:t>
      </w:r>
      <w:r>
        <w:rPr>
          <w:lang w:val="fr-FR"/>
        </w:rPr>
        <w:t> </w:t>
      </w:r>
      <w:r w:rsidRPr="0054100B">
        <w:rPr>
          <w:lang w:val="fr-FR"/>
        </w:rPr>
        <w:t>6 de la Convention représentent des aspects particuliers du droit à un procès équitable garanti par le paragraphe 1 de cette disposition</w:t>
      </w:r>
      <w:r>
        <w:rPr>
          <w:lang w:val="fr-FR"/>
        </w:rPr>
        <w:t xml:space="preserve"> </w:t>
      </w:r>
      <w:r w:rsidRPr="0054100B">
        <w:rPr>
          <w:lang w:val="fr-FR"/>
        </w:rPr>
        <w:t>(voir, parmi beaucoup d</w:t>
      </w:r>
      <w:r w:rsidR="0065181A">
        <w:rPr>
          <w:lang w:val="fr-FR"/>
        </w:rPr>
        <w:t>’</w:t>
      </w:r>
      <w:r w:rsidRPr="0054100B">
        <w:rPr>
          <w:lang w:val="fr-FR"/>
        </w:rPr>
        <w:t xml:space="preserve">autres, </w:t>
      </w:r>
      <w:r w:rsidRPr="00D42096">
        <w:rPr>
          <w:i/>
          <w:lang w:val="fr-FR"/>
        </w:rPr>
        <w:t>Allenet de Ribemont c. France</w:t>
      </w:r>
      <w:r w:rsidRPr="00D42096">
        <w:rPr>
          <w:lang w:val="fr-FR"/>
        </w:rPr>
        <w:t xml:space="preserve">, 10 </w:t>
      </w:r>
      <w:r>
        <w:rPr>
          <w:lang w:val="fr-FR"/>
        </w:rPr>
        <w:t>février</w:t>
      </w:r>
      <w:r w:rsidRPr="00D42096">
        <w:rPr>
          <w:lang w:val="fr-FR"/>
        </w:rPr>
        <w:t xml:space="preserve"> 1995, §</w:t>
      </w:r>
      <w:r>
        <w:rPr>
          <w:lang w:val="fr-FR"/>
        </w:rPr>
        <w:t> </w:t>
      </w:r>
      <w:r w:rsidRPr="00D42096">
        <w:rPr>
          <w:lang w:val="fr-FR"/>
        </w:rPr>
        <w:t>3</w:t>
      </w:r>
      <w:r>
        <w:rPr>
          <w:lang w:val="fr-FR"/>
        </w:rPr>
        <w:t>5</w:t>
      </w:r>
      <w:r w:rsidRPr="00D42096">
        <w:rPr>
          <w:lang w:val="fr-FR"/>
        </w:rPr>
        <w:t xml:space="preserve">, </w:t>
      </w:r>
      <w:r>
        <w:rPr>
          <w:lang w:val="fr-FR"/>
        </w:rPr>
        <w:t>sé</w:t>
      </w:r>
      <w:r w:rsidRPr="00D42096">
        <w:rPr>
          <w:lang w:val="fr-FR"/>
        </w:rPr>
        <w:t>rie A n</w:t>
      </w:r>
      <w:r w:rsidRPr="003242D3">
        <w:rPr>
          <w:vertAlign w:val="superscript"/>
          <w:lang w:val="fr-FR"/>
        </w:rPr>
        <w:t>o</w:t>
      </w:r>
      <w:r w:rsidRPr="00D42096">
        <w:rPr>
          <w:lang w:val="fr-FR"/>
        </w:rPr>
        <w:t xml:space="preserve"> 308</w:t>
      </w:r>
      <w:r>
        <w:rPr>
          <w:lang w:val="fr-FR"/>
        </w:rPr>
        <w:t> ;</w:t>
      </w:r>
      <w:r w:rsidRPr="00D42096">
        <w:rPr>
          <w:lang w:val="fr-FR"/>
        </w:rPr>
        <w:t xml:space="preserve"> </w:t>
      </w:r>
      <w:r w:rsidRPr="0054100B">
        <w:rPr>
          <w:i/>
          <w:iCs/>
          <w:lang w:val="fr-FR"/>
        </w:rPr>
        <w:t>Van Geyseghem c. Belgique</w:t>
      </w:r>
      <w:r w:rsidRPr="0054100B">
        <w:rPr>
          <w:lang w:val="fr-FR"/>
        </w:rPr>
        <w:t xml:space="preserve"> [GC], n</w:t>
      </w:r>
      <w:r w:rsidRPr="0054100B">
        <w:rPr>
          <w:vertAlign w:val="superscript"/>
          <w:lang w:val="fr-FR"/>
        </w:rPr>
        <w:t>o</w:t>
      </w:r>
      <w:r w:rsidRPr="0054100B">
        <w:rPr>
          <w:lang w:val="fr-FR"/>
        </w:rPr>
        <w:t> 26103/95, § 27, CEDH 1999-I</w:t>
      </w:r>
      <w:r>
        <w:rPr>
          <w:lang w:val="fr-FR"/>
        </w:rPr>
        <w:t xml:space="preserve"> ; et </w:t>
      </w:r>
      <w:r w:rsidRPr="00D42096">
        <w:rPr>
          <w:i/>
          <w:color w:val="000000"/>
          <w:lang w:val="fr-FR"/>
        </w:rPr>
        <w:t>Fatullayev c. Azerbaïdjan</w:t>
      </w:r>
      <w:r w:rsidRPr="00D42096">
        <w:rPr>
          <w:color w:val="000000"/>
          <w:lang w:val="fr-FR"/>
        </w:rPr>
        <w:t xml:space="preserve">, </w:t>
      </w:r>
      <w:r>
        <w:rPr>
          <w:color w:val="000000"/>
          <w:lang w:val="fr-FR"/>
        </w:rPr>
        <w:t>n</w:t>
      </w:r>
      <w:r w:rsidRPr="003242D3">
        <w:rPr>
          <w:color w:val="000000"/>
          <w:vertAlign w:val="superscript"/>
          <w:lang w:val="fr-FR"/>
        </w:rPr>
        <w:t>o</w:t>
      </w:r>
      <w:r>
        <w:rPr>
          <w:color w:val="000000"/>
          <w:lang w:val="fr-FR"/>
        </w:rPr>
        <w:t xml:space="preserve"> </w:t>
      </w:r>
      <w:r w:rsidRPr="00D42096">
        <w:rPr>
          <w:szCs w:val="24"/>
          <w:lang w:val="fr-FR"/>
        </w:rPr>
        <w:t>40984/07</w:t>
      </w:r>
      <w:r>
        <w:rPr>
          <w:color w:val="000000"/>
          <w:lang w:val="fr-FR"/>
        </w:rPr>
        <w:t xml:space="preserve">, </w:t>
      </w:r>
      <w:r w:rsidRPr="00D42096">
        <w:rPr>
          <w:color w:val="000000"/>
          <w:lang w:val="fr-FR"/>
        </w:rPr>
        <w:t>§ 159</w:t>
      </w:r>
      <w:r>
        <w:rPr>
          <w:color w:val="000000"/>
          <w:lang w:val="fr-FR"/>
        </w:rPr>
        <w:t xml:space="preserve">, </w:t>
      </w:r>
      <w:r w:rsidRPr="00D42096">
        <w:rPr>
          <w:color w:val="000000"/>
          <w:lang w:val="fr-FR"/>
        </w:rPr>
        <w:t>22</w:t>
      </w:r>
      <w:r>
        <w:rPr>
          <w:color w:val="000000"/>
          <w:lang w:val="fr-FR"/>
        </w:rPr>
        <w:t xml:space="preserve"> avril </w:t>
      </w:r>
      <w:r w:rsidRPr="00D42096">
        <w:rPr>
          <w:color w:val="000000"/>
          <w:lang w:val="fr-FR"/>
        </w:rPr>
        <w:t>2010</w:t>
      </w:r>
      <w:r w:rsidRPr="0054100B">
        <w:rPr>
          <w:lang w:val="fr-FR"/>
        </w:rPr>
        <w:t>). Partant, elle examinera les griefs du requérant sous l</w:t>
      </w:r>
      <w:r w:rsidR="0065181A">
        <w:rPr>
          <w:lang w:val="fr-FR"/>
        </w:rPr>
        <w:t>’</w:t>
      </w:r>
      <w:r w:rsidRPr="0054100B">
        <w:rPr>
          <w:lang w:val="fr-FR"/>
        </w:rPr>
        <w:t>angle de ces textes combinés.</w:t>
      </w:r>
    </w:p>
    <w:p w:rsidR="003242D3" w:rsidRDefault="003242D3" w:rsidP="003242D3">
      <w:pPr>
        <w:pStyle w:val="ECHRPara"/>
        <w:rPr>
          <w:szCs w:val="24"/>
          <w:lang w:val="fr-FR"/>
        </w:rPr>
      </w:pPr>
      <w:r>
        <w:rPr>
          <w:lang w:val="fr-FR"/>
        </w:rPr>
        <w:t>34.  </w:t>
      </w:r>
      <w:r w:rsidRPr="00C508A7">
        <w:rPr>
          <w:szCs w:val="24"/>
          <w:lang w:val="fr-FR"/>
        </w:rPr>
        <w:t>Elle rappelle aussi que, lorsqu</w:t>
      </w:r>
      <w:r w:rsidR="0065181A">
        <w:rPr>
          <w:szCs w:val="24"/>
          <w:lang w:val="fr-FR"/>
        </w:rPr>
        <w:t>’</w:t>
      </w:r>
      <w:r w:rsidRPr="00C508A7">
        <w:rPr>
          <w:szCs w:val="24"/>
          <w:lang w:val="fr-FR"/>
        </w:rPr>
        <w:t>elle examine un grief tiré de l</w:t>
      </w:r>
      <w:r w:rsidR="0065181A">
        <w:rPr>
          <w:szCs w:val="24"/>
          <w:lang w:val="fr-FR"/>
        </w:rPr>
        <w:t>’</w:t>
      </w:r>
      <w:r w:rsidRPr="00C508A7">
        <w:rPr>
          <w:szCs w:val="24"/>
          <w:lang w:val="fr-FR"/>
        </w:rPr>
        <w:t>article 6 de la Convention, elle doit essentiellement rechercher si la procédure pénale a revêtu un caractère équitable</w:t>
      </w:r>
      <w:bookmarkStart w:id="15" w:name="_DV_C464"/>
      <w:r w:rsidRPr="00C508A7">
        <w:rPr>
          <w:szCs w:val="24"/>
          <w:lang w:val="fr-FR"/>
        </w:rPr>
        <w:t xml:space="preserve"> (</w:t>
      </w:r>
      <w:r w:rsidRPr="00C508A7">
        <w:rPr>
          <w:i/>
          <w:szCs w:val="24"/>
          <w:lang w:val="fr-FR"/>
        </w:rPr>
        <w:t>Taxquet c. Belgique</w:t>
      </w:r>
      <w:r w:rsidRPr="00C508A7">
        <w:rPr>
          <w:szCs w:val="24"/>
          <w:lang w:val="fr-FR"/>
        </w:rPr>
        <w:t xml:space="preserve"> [GC], n</w:t>
      </w:r>
      <w:r w:rsidRPr="00C508A7">
        <w:rPr>
          <w:szCs w:val="24"/>
          <w:vertAlign w:val="superscript"/>
          <w:lang w:val="fr-FR"/>
        </w:rPr>
        <w:t>o</w:t>
      </w:r>
      <w:r w:rsidRPr="00C508A7">
        <w:rPr>
          <w:szCs w:val="24"/>
          <w:lang w:val="fr-FR"/>
        </w:rPr>
        <w:t> 926/05, § 84, CEDH 2010). Pour ce faire, elle envisage la procédure dans son ensemble</w:t>
      </w:r>
      <w:bookmarkEnd w:id="15"/>
      <w:r>
        <w:rPr>
          <w:szCs w:val="24"/>
          <w:lang w:val="fr-FR"/>
        </w:rPr>
        <w:t>.</w:t>
      </w:r>
    </w:p>
    <w:p w:rsidR="003242D3" w:rsidRDefault="003242D3" w:rsidP="003242D3">
      <w:pPr>
        <w:pStyle w:val="ECHRPara"/>
        <w:rPr>
          <w:lang w:val="fr-FR"/>
        </w:rPr>
      </w:pPr>
      <w:r>
        <w:rPr>
          <w:szCs w:val="24"/>
          <w:lang w:val="fr-FR"/>
        </w:rPr>
        <w:t>35.  </w:t>
      </w:r>
      <w:r w:rsidRPr="00C508A7">
        <w:rPr>
          <w:szCs w:val="24"/>
          <w:lang w:val="fr-FR"/>
        </w:rPr>
        <w:t>En la présente affaire, la Cour estime nécessaire d</w:t>
      </w:r>
      <w:r w:rsidR="0065181A">
        <w:rPr>
          <w:szCs w:val="24"/>
          <w:lang w:val="fr-FR"/>
        </w:rPr>
        <w:t>’</w:t>
      </w:r>
      <w:r w:rsidRPr="00C508A7">
        <w:rPr>
          <w:szCs w:val="24"/>
          <w:lang w:val="fr-FR"/>
        </w:rPr>
        <w:t>examiner d</w:t>
      </w:r>
      <w:r w:rsidR="0065181A">
        <w:rPr>
          <w:szCs w:val="24"/>
          <w:lang w:val="fr-FR"/>
        </w:rPr>
        <w:t>’</w:t>
      </w:r>
      <w:r w:rsidRPr="00C508A7">
        <w:rPr>
          <w:szCs w:val="24"/>
          <w:lang w:val="fr-FR"/>
        </w:rPr>
        <w:t>abord les différentes doléances du requérant séparément et de se livrer ensuite à une considération de l</w:t>
      </w:r>
      <w:r w:rsidR="0065181A">
        <w:rPr>
          <w:szCs w:val="24"/>
          <w:lang w:val="fr-FR"/>
        </w:rPr>
        <w:t>’</w:t>
      </w:r>
      <w:r w:rsidRPr="00C508A7">
        <w:rPr>
          <w:szCs w:val="24"/>
          <w:lang w:val="fr-FR"/>
        </w:rPr>
        <w:t>ensemble de la procédure</w:t>
      </w:r>
      <w:r>
        <w:rPr>
          <w:szCs w:val="24"/>
          <w:lang w:val="fr-FR"/>
        </w:rPr>
        <w:t xml:space="preserve"> (voir, </w:t>
      </w:r>
      <w:r>
        <w:rPr>
          <w:i/>
          <w:szCs w:val="24"/>
          <w:lang w:val="fr-FR"/>
        </w:rPr>
        <w:t xml:space="preserve">mutatis mutandis </w:t>
      </w:r>
      <w:r>
        <w:rPr>
          <w:szCs w:val="24"/>
          <w:lang w:val="fr-FR"/>
        </w:rPr>
        <w:t xml:space="preserve">et par exemple, </w:t>
      </w:r>
      <w:r>
        <w:rPr>
          <w:i/>
          <w:lang w:val="fr-FR"/>
        </w:rPr>
        <w:t xml:space="preserve">Sampech c. Italie </w:t>
      </w:r>
      <w:r>
        <w:rPr>
          <w:lang w:val="fr-FR"/>
        </w:rPr>
        <w:t>(déc.), n</w:t>
      </w:r>
      <w:r w:rsidRPr="003242D3">
        <w:rPr>
          <w:vertAlign w:val="superscript"/>
          <w:lang w:val="fr-FR"/>
        </w:rPr>
        <w:t>o</w:t>
      </w:r>
      <w:r>
        <w:rPr>
          <w:lang w:val="fr-FR"/>
        </w:rPr>
        <w:t> </w:t>
      </w:r>
      <w:r w:rsidRPr="00B03470">
        <w:rPr>
          <w:rStyle w:val="column01"/>
          <w:lang w:val="fr-FR"/>
        </w:rPr>
        <w:t>55546/09, § </w:t>
      </w:r>
      <w:r>
        <w:rPr>
          <w:rStyle w:val="column01"/>
          <w:lang w:val="fr-FR"/>
        </w:rPr>
        <w:t>73</w:t>
      </w:r>
      <w:r w:rsidRPr="00B03470">
        <w:rPr>
          <w:rStyle w:val="column01"/>
          <w:lang w:val="fr-FR"/>
        </w:rPr>
        <w:t>, 19 mai 2015</w:t>
      </w:r>
      <w:r>
        <w:rPr>
          <w:rStyle w:val="column01"/>
          <w:lang w:val="fr-FR"/>
        </w:rPr>
        <w:t>)</w:t>
      </w:r>
      <w:r w:rsidRPr="00C508A7">
        <w:rPr>
          <w:szCs w:val="24"/>
          <w:lang w:val="fr-FR"/>
        </w:rPr>
        <w:t>.</w:t>
      </w:r>
    </w:p>
    <w:p w:rsidR="003242D3" w:rsidRDefault="003242D3" w:rsidP="003242D3">
      <w:pPr>
        <w:pStyle w:val="ECHRHeading3"/>
        <w:rPr>
          <w:lang w:val="fr-FR"/>
        </w:rPr>
      </w:pPr>
      <w:r>
        <w:rPr>
          <w:lang w:val="fr-FR"/>
        </w:rPr>
        <w:t>1.  Le grief tiré de l</w:t>
      </w:r>
      <w:r w:rsidR="0065181A">
        <w:rPr>
          <w:lang w:val="fr-FR"/>
        </w:rPr>
        <w:t>’</w:t>
      </w:r>
      <w:r>
        <w:rPr>
          <w:lang w:val="fr-FR"/>
        </w:rPr>
        <w:t>utilisation de l</w:t>
      </w:r>
      <w:r w:rsidR="0065181A">
        <w:rPr>
          <w:lang w:val="fr-FR"/>
        </w:rPr>
        <w:t>’</w:t>
      </w:r>
      <w:r>
        <w:rPr>
          <w:lang w:val="fr-FR"/>
        </w:rPr>
        <w:t>interrogatoire de X du 24 juin 2010</w:t>
      </w:r>
    </w:p>
    <w:p w:rsidR="003242D3" w:rsidRDefault="003242D3" w:rsidP="003242D3">
      <w:pPr>
        <w:pStyle w:val="ECHRPara"/>
        <w:rPr>
          <w:lang w:val="fr-FR"/>
        </w:rPr>
      </w:pPr>
      <w:r>
        <w:rPr>
          <w:lang w:val="fr-FR"/>
        </w:rPr>
        <w:t>36.  Le requérant allègue en premier lieu que l</w:t>
      </w:r>
      <w:r w:rsidR="0065181A">
        <w:rPr>
          <w:lang w:val="fr-FR"/>
        </w:rPr>
        <w:t>’</w:t>
      </w:r>
      <w:r>
        <w:rPr>
          <w:lang w:val="fr-FR"/>
        </w:rPr>
        <w:t>inclusion dans le dossier du juge d</w:t>
      </w:r>
      <w:r w:rsidR="0065181A">
        <w:rPr>
          <w:lang w:val="fr-FR"/>
        </w:rPr>
        <w:t>’</w:t>
      </w:r>
      <w:r>
        <w:rPr>
          <w:lang w:val="fr-FR"/>
        </w:rPr>
        <w:t>un acte (l</w:t>
      </w:r>
      <w:r w:rsidR="0065181A">
        <w:rPr>
          <w:lang w:val="fr-FR"/>
        </w:rPr>
        <w:t>’</w:t>
      </w:r>
      <w:r>
        <w:rPr>
          <w:lang w:val="fr-FR"/>
        </w:rPr>
        <w:t>interrogatoire de X) accompli après la présentation de sa demande d</w:t>
      </w:r>
      <w:r w:rsidR="0065181A">
        <w:rPr>
          <w:lang w:val="fr-FR"/>
        </w:rPr>
        <w:t>’</w:t>
      </w:r>
      <w:r>
        <w:rPr>
          <w:lang w:val="fr-FR"/>
        </w:rPr>
        <w:t>être jugé selon la procédure abrégée a porté atteinte à l</w:t>
      </w:r>
      <w:r w:rsidR="0065181A">
        <w:rPr>
          <w:lang w:val="fr-FR"/>
        </w:rPr>
        <w:t>’</w:t>
      </w:r>
      <w:r>
        <w:rPr>
          <w:lang w:val="fr-FR"/>
        </w:rPr>
        <w:t xml:space="preserve">impartialité des tribunaux internes. </w:t>
      </w:r>
      <w:r>
        <w:rPr>
          <w:rFonts w:cstheme="minorHAnsi"/>
          <w:lang w:val="fr-FR"/>
        </w:rPr>
        <w:t>À</w:t>
      </w:r>
      <w:r>
        <w:rPr>
          <w:lang w:val="fr-FR"/>
        </w:rPr>
        <w:t xml:space="preserve"> cet égard, il note qu</w:t>
      </w:r>
      <w:r w:rsidR="0065181A">
        <w:rPr>
          <w:lang w:val="fr-FR"/>
        </w:rPr>
        <w:t>’</w:t>
      </w:r>
      <w:r>
        <w:rPr>
          <w:lang w:val="fr-FR"/>
        </w:rPr>
        <w:t>avant même d</w:t>
      </w:r>
      <w:r w:rsidR="0065181A">
        <w:rPr>
          <w:lang w:val="fr-FR"/>
        </w:rPr>
        <w:t>’</w:t>
      </w:r>
      <w:r>
        <w:rPr>
          <w:lang w:val="fr-FR"/>
        </w:rPr>
        <w:t>examiner le dossier, dans son ordonnance du 16 juillet 2010, le GIP de Pavie avait indiqué que l</w:t>
      </w:r>
      <w:r w:rsidR="0065181A">
        <w:rPr>
          <w:lang w:val="fr-FR"/>
        </w:rPr>
        <w:t>’</w:t>
      </w:r>
      <w:r>
        <w:rPr>
          <w:lang w:val="fr-FR"/>
        </w:rPr>
        <w:t>importance de l</w:t>
      </w:r>
      <w:r w:rsidR="0065181A">
        <w:rPr>
          <w:lang w:val="fr-FR"/>
        </w:rPr>
        <w:t>’</w:t>
      </w:r>
      <w:r>
        <w:rPr>
          <w:lang w:val="fr-FR"/>
        </w:rPr>
        <w:t>interrogatoire de X pour la décision sur la culpabilité du prévenu était</w:t>
      </w:r>
      <w:r w:rsidR="00864205">
        <w:rPr>
          <w:lang w:val="fr-FR"/>
        </w:rPr>
        <w:t xml:space="preserve"> « évidente » (paragraphe 10 ci</w:t>
      </w:r>
      <w:r w:rsidR="00864205">
        <w:rPr>
          <w:lang w:val="fr-FR"/>
        </w:rPr>
        <w:noBreakHyphen/>
      </w:r>
      <w:r>
        <w:rPr>
          <w:lang w:val="fr-FR"/>
        </w:rPr>
        <w:t>dessus).</w:t>
      </w:r>
    </w:p>
    <w:p w:rsidR="003242D3" w:rsidRDefault="003242D3" w:rsidP="003242D3">
      <w:pPr>
        <w:pStyle w:val="ECHRPara"/>
        <w:rPr>
          <w:lang w:val="fr-FR"/>
        </w:rPr>
      </w:pPr>
      <w:r>
        <w:rPr>
          <w:lang w:val="fr-FR"/>
        </w:rPr>
        <w:t>37.  Le requérant observe de surcroît que sa condamnation en première instance se fondait, dans une mesure déterminante, sur les déclarations de X, un témoin qu</w:t>
      </w:r>
      <w:r w:rsidR="0065181A">
        <w:rPr>
          <w:lang w:val="fr-FR"/>
        </w:rPr>
        <w:t>’</w:t>
      </w:r>
      <w:r>
        <w:rPr>
          <w:lang w:val="fr-FR"/>
        </w:rPr>
        <w:t>il n</w:t>
      </w:r>
      <w:r w:rsidR="0065181A">
        <w:rPr>
          <w:lang w:val="fr-FR"/>
        </w:rPr>
        <w:t>’</w:t>
      </w:r>
      <w:r>
        <w:rPr>
          <w:lang w:val="fr-FR"/>
        </w:rPr>
        <w:t>avait pas pu interroger ou faire interroger. Cet inconvénient n</w:t>
      </w:r>
      <w:r w:rsidR="0065181A">
        <w:rPr>
          <w:lang w:val="fr-FR"/>
        </w:rPr>
        <w:t>’</w:t>
      </w:r>
      <w:r>
        <w:rPr>
          <w:lang w:val="fr-FR"/>
        </w:rPr>
        <w:t>aurait pas été corrigé dans le cadre de la procédure d</w:t>
      </w:r>
      <w:r w:rsidR="0065181A">
        <w:rPr>
          <w:lang w:val="fr-FR"/>
        </w:rPr>
        <w:t>’</w:t>
      </w:r>
      <w:r>
        <w:rPr>
          <w:lang w:val="fr-FR"/>
        </w:rPr>
        <w:t>appel, où X a été interrogé en tenant compte de ses déclarations précédentes. Ses affirmations auraient en outre été évaluées de manière unilatérale et dans l</w:t>
      </w:r>
      <w:r w:rsidR="0065181A">
        <w:rPr>
          <w:lang w:val="fr-FR"/>
        </w:rPr>
        <w:t>’</w:t>
      </w:r>
      <w:r>
        <w:rPr>
          <w:lang w:val="fr-FR"/>
        </w:rPr>
        <w:t>optique de condamner le requérant, ce qui aurait emporté violation du principe de la présomption d</w:t>
      </w:r>
      <w:r w:rsidR="0065181A">
        <w:rPr>
          <w:lang w:val="fr-FR"/>
        </w:rPr>
        <w:t>’</w:t>
      </w:r>
      <w:r>
        <w:rPr>
          <w:lang w:val="fr-FR"/>
        </w:rPr>
        <w:t>innocence.</w:t>
      </w:r>
    </w:p>
    <w:p w:rsidR="003242D3" w:rsidRDefault="003242D3" w:rsidP="003242D3">
      <w:pPr>
        <w:pStyle w:val="ECHRPara"/>
        <w:rPr>
          <w:lang w:val="fr-FR"/>
        </w:rPr>
      </w:pPr>
      <w:r>
        <w:rPr>
          <w:lang w:val="fr-FR"/>
        </w:rPr>
        <w:t>38.  </w:t>
      </w:r>
      <w:bookmarkStart w:id="16" w:name="_DV_C466"/>
      <w:r w:rsidRPr="00CB0B4B">
        <w:rPr>
          <w:szCs w:val="24"/>
          <w:lang w:val="fr-FR"/>
        </w:rPr>
        <w:t>La Cour rappelle d</w:t>
      </w:r>
      <w:r w:rsidR="0065181A">
        <w:rPr>
          <w:szCs w:val="24"/>
          <w:lang w:val="fr-FR"/>
        </w:rPr>
        <w:t>’</w:t>
      </w:r>
      <w:r w:rsidRPr="00CB0B4B">
        <w:rPr>
          <w:szCs w:val="24"/>
          <w:lang w:val="fr-FR"/>
        </w:rPr>
        <w:t>emblée que la recevabilité des preuves relève des règles du droit interne et des juridictions nationales (</w:t>
      </w:r>
      <w:r w:rsidRPr="00CB0B4B">
        <w:rPr>
          <w:i/>
          <w:szCs w:val="24"/>
          <w:lang w:val="fr-FR"/>
        </w:rPr>
        <w:t>Gäfgen</w:t>
      </w:r>
      <w:r>
        <w:rPr>
          <w:i/>
          <w:szCs w:val="24"/>
          <w:lang w:val="fr-FR"/>
        </w:rPr>
        <w:t xml:space="preserve"> </w:t>
      </w:r>
      <w:r w:rsidRPr="00C508A7">
        <w:rPr>
          <w:i/>
          <w:szCs w:val="24"/>
          <w:lang w:val="fr-FR"/>
        </w:rPr>
        <w:t>c. Allemagne</w:t>
      </w:r>
      <w:r w:rsidRPr="00C508A7">
        <w:rPr>
          <w:szCs w:val="24"/>
          <w:lang w:val="fr-FR"/>
        </w:rPr>
        <w:t xml:space="preserve"> [GC], n</w:t>
      </w:r>
      <w:r w:rsidRPr="00C508A7">
        <w:rPr>
          <w:szCs w:val="24"/>
          <w:vertAlign w:val="superscript"/>
          <w:lang w:val="fr-FR"/>
        </w:rPr>
        <w:t>o </w:t>
      </w:r>
      <w:r w:rsidRPr="00C508A7">
        <w:rPr>
          <w:szCs w:val="24"/>
          <w:lang w:val="fr-FR"/>
        </w:rPr>
        <w:t>22978/05, § 1</w:t>
      </w:r>
      <w:r>
        <w:rPr>
          <w:szCs w:val="24"/>
          <w:lang w:val="fr-FR"/>
        </w:rPr>
        <w:t>62</w:t>
      </w:r>
      <w:r w:rsidRPr="00C508A7">
        <w:rPr>
          <w:szCs w:val="24"/>
          <w:lang w:val="fr-FR"/>
        </w:rPr>
        <w:t>, CEDH</w:t>
      </w:r>
      <w:r>
        <w:rPr>
          <w:szCs w:val="24"/>
          <w:lang w:val="fr-FR"/>
        </w:rPr>
        <w:t> </w:t>
      </w:r>
      <w:r w:rsidRPr="00C508A7">
        <w:rPr>
          <w:szCs w:val="24"/>
          <w:lang w:val="fr-FR"/>
        </w:rPr>
        <w:t>2010</w:t>
      </w:r>
      <w:r w:rsidRPr="00CB0B4B">
        <w:rPr>
          <w:szCs w:val="24"/>
          <w:lang w:val="fr-FR"/>
        </w:rPr>
        <w:t>, avec les références qui y sont citées).</w:t>
      </w:r>
      <w:bookmarkEnd w:id="16"/>
      <w:r w:rsidRPr="00CB0B4B">
        <w:rPr>
          <w:szCs w:val="24"/>
          <w:lang w:val="fr-FR"/>
        </w:rPr>
        <w:t xml:space="preserve"> De plus, </w:t>
      </w:r>
      <w:r w:rsidRPr="00652F22">
        <w:rPr>
          <w:lang w:val="fr-FR"/>
        </w:rPr>
        <w:t>il ne lui appartient pas de connaître des erreurs de fait ou de droit prétendument commises par une juridiction interne, sauf si et dans la mesure où elles pourraient avoir porté atteinte aux droits et libertés sauvegardés par la Convention (</w:t>
      </w:r>
      <w:r w:rsidRPr="00FE5B9D">
        <w:rPr>
          <w:i/>
          <w:lang w:val="fr-FR"/>
        </w:rPr>
        <w:t>García Ruiz c. Espagne</w:t>
      </w:r>
      <w:r w:rsidRPr="00FE5B9D">
        <w:rPr>
          <w:lang w:val="fr-FR"/>
        </w:rPr>
        <w:t xml:space="preserve"> [GC], n</w:t>
      </w:r>
      <w:r w:rsidRPr="00FE5B9D">
        <w:rPr>
          <w:vertAlign w:val="superscript"/>
          <w:lang w:val="fr-FR"/>
        </w:rPr>
        <w:t>o</w:t>
      </w:r>
      <w:r w:rsidR="00DD18D9">
        <w:rPr>
          <w:lang w:val="fr-FR"/>
        </w:rPr>
        <w:t xml:space="preserve"> 30544/96, § </w:t>
      </w:r>
      <w:r w:rsidRPr="00FE5B9D">
        <w:rPr>
          <w:lang w:val="fr-FR"/>
        </w:rPr>
        <w:t>28, CEDH 1999-I</w:t>
      </w:r>
      <w:r w:rsidRPr="000A41DF">
        <w:rPr>
          <w:lang w:val="fr-FR"/>
        </w:rPr>
        <w:t>, et</w:t>
      </w:r>
      <w:r>
        <w:rPr>
          <w:i/>
          <w:lang w:val="fr-FR"/>
        </w:rPr>
        <w:t xml:space="preserve"> </w:t>
      </w:r>
      <w:r w:rsidRPr="00652F22">
        <w:rPr>
          <w:i/>
          <w:lang w:val="fr-FR"/>
        </w:rPr>
        <w:t>Khan c.</w:t>
      </w:r>
      <w:r w:rsidR="00DD18D9">
        <w:rPr>
          <w:i/>
          <w:lang w:val="fr-FR"/>
        </w:rPr>
        <w:t xml:space="preserve"> </w:t>
      </w:r>
      <w:r w:rsidRPr="00652F22">
        <w:rPr>
          <w:i/>
          <w:lang w:val="fr-FR"/>
        </w:rPr>
        <w:t>Royaume-Uni</w:t>
      </w:r>
      <w:r w:rsidRPr="00652F22">
        <w:rPr>
          <w:lang w:val="fr-FR"/>
        </w:rPr>
        <w:t>, n</w:t>
      </w:r>
      <w:r w:rsidRPr="00D77D93">
        <w:rPr>
          <w:vertAlign w:val="superscript"/>
          <w:lang w:val="fr-FR"/>
        </w:rPr>
        <w:t>o</w:t>
      </w:r>
      <w:r w:rsidR="00DD18D9">
        <w:rPr>
          <w:lang w:val="fr-FR"/>
        </w:rPr>
        <w:t xml:space="preserve"> 35394/97, § </w:t>
      </w:r>
      <w:r w:rsidRPr="00652F22">
        <w:rPr>
          <w:lang w:val="fr-FR"/>
        </w:rPr>
        <w:t>34, CEDH</w:t>
      </w:r>
      <w:r>
        <w:rPr>
          <w:lang w:val="fr-FR"/>
        </w:rPr>
        <w:t> </w:t>
      </w:r>
      <w:r w:rsidRPr="00652F22">
        <w:rPr>
          <w:lang w:val="fr-FR"/>
        </w:rPr>
        <w:t>2000-V),</w:t>
      </w:r>
      <w:r w:rsidRPr="000D5AF9">
        <w:rPr>
          <w:lang w:val="fr-FR"/>
        </w:rPr>
        <w:t xml:space="preserve"> et il revient en principe aux juridictions nationales d</w:t>
      </w:r>
      <w:r w:rsidR="0065181A">
        <w:rPr>
          <w:lang w:val="fr-FR"/>
        </w:rPr>
        <w:t>’</w:t>
      </w:r>
      <w:r w:rsidRPr="000D5AF9">
        <w:rPr>
          <w:lang w:val="fr-FR"/>
        </w:rPr>
        <w:t>apprécier les faits et d</w:t>
      </w:r>
      <w:r w:rsidR="0065181A">
        <w:rPr>
          <w:lang w:val="fr-FR"/>
        </w:rPr>
        <w:t>’</w:t>
      </w:r>
      <w:r w:rsidRPr="000D5AF9">
        <w:rPr>
          <w:lang w:val="fr-FR"/>
        </w:rPr>
        <w:t>interpréter et appliquer le droit interne (</w:t>
      </w:r>
      <w:r w:rsidRPr="00CB7C13">
        <w:rPr>
          <w:i/>
          <w:lang w:val="fr-FR"/>
        </w:rPr>
        <w:t xml:space="preserve">Pacifico </w:t>
      </w:r>
      <w:r w:rsidRPr="00CB7C13">
        <w:rPr>
          <w:i/>
          <w:lang w:val="fr-FR"/>
        </w:rPr>
        <w:lastRenderedPageBreak/>
        <w:t>c.</w:t>
      </w:r>
      <w:r>
        <w:rPr>
          <w:i/>
          <w:lang w:val="fr-FR"/>
        </w:rPr>
        <w:t> </w:t>
      </w:r>
      <w:r w:rsidRPr="00CB7C13">
        <w:rPr>
          <w:i/>
          <w:lang w:val="fr-FR"/>
        </w:rPr>
        <w:t>Italie</w:t>
      </w:r>
      <w:r>
        <w:rPr>
          <w:lang w:val="fr-FR"/>
        </w:rPr>
        <w:t xml:space="preserve"> (</w:t>
      </w:r>
      <w:r w:rsidRPr="000D5AF9">
        <w:rPr>
          <w:lang w:val="fr-FR"/>
        </w:rPr>
        <w:t>déc</w:t>
      </w:r>
      <w:r>
        <w:rPr>
          <w:lang w:val="fr-FR"/>
        </w:rPr>
        <w:t>.)</w:t>
      </w:r>
      <w:r w:rsidRPr="000D5AF9">
        <w:rPr>
          <w:lang w:val="fr-FR"/>
        </w:rPr>
        <w:t>,</w:t>
      </w:r>
      <w:r>
        <w:rPr>
          <w:lang w:val="fr-FR"/>
        </w:rPr>
        <w:t xml:space="preserve"> </w:t>
      </w:r>
      <w:r w:rsidRPr="00CB7C13">
        <w:rPr>
          <w:lang w:val="fr-FR"/>
        </w:rPr>
        <w:t>n</w:t>
      </w:r>
      <w:r w:rsidRPr="00D77D93">
        <w:rPr>
          <w:vertAlign w:val="superscript"/>
          <w:lang w:val="fr-FR"/>
        </w:rPr>
        <w:t>o</w:t>
      </w:r>
      <w:r w:rsidR="00DD18D9">
        <w:rPr>
          <w:lang w:val="fr-FR"/>
        </w:rPr>
        <w:t xml:space="preserve"> </w:t>
      </w:r>
      <w:r>
        <w:rPr>
          <w:lang w:val="fr-FR"/>
        </w:rPr>
        <w:t>17995/08</w:t>
      </w:r>
      <w:r w:rsidRPr="00CB7C13">
        <w:rPr>
          <w:lang w:val="fr-FR"/>
        </w:rPr>
        <w:t>, §</w:t>
      </w:r>
      <w:r w:rsidR="00DD18D9">
        <w:rPr>
          <w:lang w:val="fr-FR"/>
        </w:rPr>
        <w:t xml:space="preserve"> </w:t>
      </w:r>
      <w:r w:rsidRPr="00CB7C13">
        <w:rPr>
          <w:lang w:val="fr-FR"/>
        </w:rPr>
        <w:t>6</w:t>
      </w:r>
      <w:r>
        <w:rPr>
          <w:lang w:val="fr-FR"/>
        </w:rPr>
        <w:t>2</w:t>
      </w:r>
      <w:r w:rsidRPr="00CB7C13">
        <w:rPr>
          <w:lang w:val="fr-FR"/>
        </w:rPr>
        <w:t>, 20</w:t>
      </w:r>
      <w:r w:rsidR="00DD18D9">
        <w:rPr>
          <w:lang w:val="fr-FR"/>
        </w:rPr>
        <w:t xml:space="preserve"> </w:t>
      </w:r>
      <w:r w:rsidRPr="00CB7C13">
        <w:rPr>
          <w:lang w:val="fr-FR"/>
        </w:rPr>
        <w:t>novembre 2012</w:t>
      </w:r>
      <w:r>
        <w:rPr>
          <w:lang w:val="fr-FR"/>
        </w:rPr>
        <w:t xml:space="preserve">, et </w:t>
      </w:r>
      <w:r>
        <w:rPr>
          <w:i/>
          <w:lang w:val="fr-FR"/>
        </w:rPr>
        <w:t xml:space="preserve">Plesic c. Italie </w:t>
      </w:r>
      <w:r>
        <w:rPr>
          <w:lang w:val="fr-FR"/>
        </w:rPr>
        <w:t>(déc.), n</w:t>
      </w:r>
      <w:r w:rsidRPr="00D77D93">
        <w:rPr>
          <w:vertAlign w:val="superscript"/>
          <w:lang w:val="fr-FR"/>
        </w:rPr>
        <w:t>o</w:t>
      </w:r>
      <w:r>
        <w:rPr>
          <w:lang w:val="fr-FR"/>
        </w:rPr>
        <w:t xml:space="preserve"> 16065/09, § 33, </w:t>
      </w:r>
      <w:r w:rsidRPr="00CB7C13">
        <w:rPr>
          <w:lang w:val="fr-FR"/>
        </w:rPr>
        <w:t>2 juillet 2013</w:t>
      </w:r>
      <w:r w:rsidRPr="00CB0B4B">
        <w:rPr>
          <w:lang w:val="fr-FR"/>
        </w:rPr>
        <w:t>)</w:t>
      </w:r>
      <w:r w:rsidRPr="00CB0B4B">
        <w:rPr>
          <w:szCs w:val="24"/>
          <w:lang w:val="fr-FR"/>
        </w:rPr>
        <w:t>. L</w:t>
      </w:r>
      <w:r w:rsidRPr="00CB0B4B">
        <w:rPr>
          <w:lang w:val="fr-FR"/>
        </w:rPr>
        <w:t xml:space="preserve">a </w:t>
      </w:r>
      <w:r w:rsidRPr="00B61117">
        <w:rPr>
          <w:lang w:val="fr-FR"/>
        </w:rPr>
        <w:t>tâche de la Cour ne consiste pas à se prononcer sur le point de savoir si certains éléments de preuve ont été obtenus de manière illégale</w:t>
      </w:r>
      <w:r>
        <w:rPr>
          <w:lang w:val="fr-FR"/>
        </w:rPr>
        <w:t>,</w:t>
      </w:r>
      <w:r w:rsidRPr="00B61117">
        <w:rPr>
          <w:lang w:val="fr-FR"/>
        </w:rPr>
        <w:t xml:space="preserve"> mais à examiner si une telle « illégalité » a entraîné la violation d</w:t>
      </w:r>
      <w:r w:rsidR="0065181A">
        <w:rPr>
          <w:lang w:val="fr-FR"/>
        </w:rPr>
        <w:t>’</w:t>
      </w:r>
      <w:r w:rsidRPr="00B61117">
        <w:rPr>
          <w:lang w:val="fr-FR"/>
        </w:rPr>
        <w:t>un droit protégé par la Convention</w:t>
      </w:r>
      <w:r>
        <w:rPr>
          <w:lang w:val="fr-FR"/>
        </w:rPr>
        <w:t xml:space="preserve"> (voir, parmi beaucoup d</w:t>
      </w:r>
      <w:r w:rsidR="0065181A">
        <w:rPr>
          <w:lang w:val="fr-FR"/>
        </w:rPr>
        <w:t>’</w:t>
      </w:r>
      <w:r>
        <w:rPr>
          <w:lang w:val="fr-FR"/>
        </w:rPr>
        <w:t xml:space="preserve">autres, </w:t>
      </w:r>
      <w:r w:rsidRPr="00B61117">
        <w:rPr>
          <w:i/>
          <w:lang w:val="fr-FR"/>
        </w:rPr>
        <w:t>Ramanauskas</w:t>
      </w:r>
      <w:r>
        <w:rPr>
          <w:i/>
          <w:lang w:val="fr-FR"/>
        </w:rPr>
        <w:t xml:space="preserve"> </w:t>
      </w:r>
      <w:r w:rsidRPr="00B61117">
        <w:rPr>
          <w:i/>
          <w:lang w:val="fr-FR"/>
        </w:rPr>
        <w:t>c.</w:t>
      </w:r>
      <w:r>
        <w:rPr>
          <w:i/>
          <w:lang w:val="fr-FR"/>
        </w:rPr>
        <w:t> </w:t>
      </w:r>
      <w:r w:rsidRPr="00B61117">
        <w:rPr>
          <w:i/>
          <w:lang w:val="fr-FR"/>
        </w:rPr>
        <w:t>Lituanie</w:t>
      </w:r>
      <w:r>
        <w:rPr>
          <w:lang w:val="fr-FR"/>
        </w:rPr>
        <w:t xml:space="preserve"> [GC], n</w:t>
      </w:r>
      <w:r w:rsidRPr="000E335B">
        <w:rPr>
          <w:vertAlign w:val="superscript"/>
          <w:lang w:val="fr-FR"/>
        </w:rPr>
        <w:t>o</w:t>
      </w:r>
      <w:r>
        <w:rPr>
          <w:lang w:val="fr-FR"/>
        </w:rPr>
        <w:t xml:space="preserve"> 74420/01, § 52, CEDH 2008 ; </w:t>
      </w:r>
      <w:r w:rsidRPr="001F54A4">
        <w:rPr>
          <w:i/>
          <w:lang w:val="fr-FR"/>
        </w:rPr>
        <w:t>Sepil</w:t>
      </w:r>
      <w:r>
        <w:rPr>
          <w:i/>
          <w:lang w:val="fr-FR"/>
        </w:rPr>
        <w:t xml:space="preserve"> </w:t>
      </w:r>
      <w:r w:rsidRPr="001F54A4">
        <w:rPr>
          <w:i/>
          <w:lang w:val="fr-FR"/>
        </w:rPr>
        <w:t>c.</w:t>
      </w:r>
      <w:r w:rsidR="00DD18D9">
        <w:rPr>
          <w:i/>
          <w:lang w:val="fr-FR"/>
        </w:rPr>
        <w:t xml:space="preserve"> </w:t>
      </w:r>
      <w:r w:rsidRPr="001F54A4">
        <w:rPr>
          <w:i/>
          <w:lang w:val="fr-FR"/>
        </w:rPr>
        <w:t>Turquie</w:t>
      </w:r>
      <w:r w:rsidRPr="001F54A4">
        <w:rPr>
          <w:lang w:val="fr-FR"/>
        </w:rPr>
        <w:t>, n</w:t>
      </w:r>
      <w:r w:rsidRPr="000E335B">
        <w:rPr>
          <w:vertAlign w:val="superscript"/>
          <w:lang w:val="fr-FR"/>
        </w:rPr>
        <w:t>o</w:t>
      </w:r>
      <w:r w:rsidR="00DD18D9">
        <w:rPr>
          <w:vertAlign w:val="superscript"/>
          <w:lang w:val="fr-FR"/>
        </w:rPr>
        <w:t xml:space="preserve"> </w:t>
      </w:r>
      <w:r w:rsidRPr="001F54A4">
        <w:rPr>
          <w:lang w:val="fr-FR"/>
        </w:rPr>
        <w:t>17711/07, § 3</w:t>
      </w:r>
      <w:r>
        <w:rPr>
          <w:lang w:val="fr-FR"/>
        </w:rPr>
        <w:t>0</w:t>
      </w:r>
      <w:r w:rsidRPr="001F54A4">
        <w:rPr>
          <w:lang w:val="fr-FR"/>
        </w:rPr>
        <w:t>, 12</w:t>
      </w:r>
      <w:r w:rsidR="00DD18D9">
        <w:rPr>
          <w:lang w:val="fr-FR"/>
        </w:rPr>
        <w:t xml:space="preserve"> </w:t>
      </w:r>
      <w:r w:rsidRPr="001F54A4">
        <w:rPr>
          <w:lang w:val="fr-FR"/>
        </w:rPr>
        <w:t>novembre 2013</w:t>
      </w:r>
      <w:r>
        <w:rPr>
          <w:lang w:val="fr-FR"/>
        </w:rPr>
        <w:t xml:space="preserve"> ; et </w:t>
      </w:r>
      <w:r>
        <w:rPr>
          <w:i/>
          <w:szCs w:val="24"/>
          <w:lang w:val="fr-FR"/>
        </w:rPr>
        <w:t>Sampech</w:t>
      </w:r>
      <w:r>
        <w:rPr>
          <w:szCs w:val="24"/>
          <w:lang w:val="fr-FR"/>
        </w:rPr>
        <w:t>, décision précitée, § 98</w:t>
      </w:r>
      <w:r>
        <w:rPr>
          <w:lang w:val="fr-FR"/>
        </w:rPr>
        <w:t>).</w:t>
      </w:r>
    </w:p>
    <w:p w:rsidR="003242D3" w:rsidRDefault="003242D3" w:rsidP="003242D3">
      <w:pPr>
        <w:pStyle w:val="ECHRPara"/>
        <w:rPr>
          <w:lang w:val="fr-FR"/>
        </w:rPr>
      </w:pPr>
      <w:r>
        <w:rPr>
          <w:lang w:val="fr-FR"/>
        </w:rPr>
        <w:t>39.  </w:t>
      </w:r>
      <w:r w:rsidRPr="00FE5B9D">
        <w:rPr>
          <w:lang w:val="fr-FR"/>
        </w:rPr>
        <w:t>La Cour n</w:t>
      </w:r>
      <w:r w:rsidR="0065181A">
        <w:rPr>
          <w:lang w:val="fr-FR"/>
        </w:rPr>
        <w:t>’</w:t>
      </w:r>
      <w:r w:rsidRPr="00FE5B9D">
        <w:rPr>
          <w:lang w:val="fr-FR"/>
        </w:rPr>
        <w:t>est donc pas appelée à se prononcer sur la régularité, en droit italien, de l</w:t>
      </w:r>
      <w:r w:rsidR="0065181A">
        <w:rPr>
          <w:lang w:val="fr-FR"/>
        </w:rPr>
        <w:t>’</w:t>
      </w:r>
      <w:r>
        <w:rPr>
          <w:lang w:val="fr-FR"/>
        </w:rPr>
        <w:t>utilisation du procès-verbal de l</w:t>
      </w:r>
      <w:r w:rsidR="0065181A">
        <w:rPr>
          <w:lang w:val="fr-FR"/>
        </w:rPr>
        <w:t>’</w:t>
      </w:r>
      <w:r>
        <w:rPr>
          <w:lang w:val="fr-FR"/>
        </w:rPr>
        <w:t>interrogatoire de X du 24 juin 2010 ou encore des modalités de l</w:t>
      </w:r>
      <w:r w:rsidR="0065181A">
        <w:rPr>
          <w:lang w:val="fr-FR"/>
        </w:rPr>
        <w:t>’</w:t>
      </w:r>
      <w:r>
        <w:rPr>
          <w:lang w:val="fr-FR"/>
        </w:rPr>
        <w:t>audition de ce même témoin en appel</w:t>
      </w:r>
      <w:r w:rsidRPr="00FE5B9D">
        <w:rPr>
          <w:lang w:val="fr-FR"/>
        </w:rPr>
        <w:t>. Elle doit en revanche vérifier si la procédure pénale menée contre le requérant a revêtu un caractère équitable (voir, parmi beaucoup d</w:t>
      </w:r>
      <w:r w:rsidR="0065181A">
        <w:rPr>
          <w:lang w:val="fr-FR"/>
        </w:rPr>
        <w:t>’</w:t>
      </w:r>
      <w:r w:rsidRPr="00FE5B9D">
        <w:rPr>
          <w:lang w:val="fr-FR"/>
        </w:rPr>
        <w:t>autres,</w:t>
      </w:r>
      <w:r w:rsidRPr="00FE5B9D">
        <w:rPr>
          <w:i/>
          <w:lang w:val="fr-FR"/>
        </w:rPr>
        <w:t xml:space="preserve"> Van Mechelen et autres c. Pays-Bas</w:t>
      </w:r>
      <w:r w:rsidRPr="00FE5B9D">
        <w:rPr>
          <w:lang w:val="fr-FR"/>
        </w:rPr>
        <w:t xml:space="preserve">, </w:t>
      </w:r>
      <w:r>
        <w:rPr>
          <w:lang w:val="fr-FR"/>
        </w:rPr>
        <w:t>d</w:t>
      </w:r>
      <w:r w:rsidRPr="00FE5B9D">
        <w:rPr>
          <w:lang w:val="fr-FR"/>
        </w:rPr>
        <w:t>u 23</w:t>
      </w:r>
      <w:r w:rsidR="005E6F5D">
        <w:rPr>
          <w:lang w:val="fr-FR"/>
        </w:rPr>
        <w:t xml:space="preserve"> </w:t>
      </w:r>
      <w:r w:rsidRPr="00FE5B9D">
        <w:rPr>
          <w:lang w:val="fr-FR"/>
        </w:rPr>
        <w:t xml:space="preserve">avril 1997, </w:t>
      </w:r>
      <w:r>
        <w:rPr>
          <w:lang w:val="fr-FR"/>
        </w:rPr>
        <w:t xml:space="preserve">§ 50, </w:t>
      </w:r>
      <w:r w:rsidRPr="00FE5B9D">
        <w:rPr>
          <w:i/>
          <w:lang w:val="fr-FR"/>
        </w:rPr>
        <w:t xml:space="preserve">Recueil des arrêts et décisions </w:t>
      </w:r>
      <w:r>
        <w:rPr>
          <w:lang w:val="fr-FR"/>
        </w:rPr>
        <w:t>1997-III</w:t>
      </w:r>
      <w:r w:rsidRPr="00FE5B9D">
        <w:rPr>
          <w:lang w:val="fr-FR"/>
        </w:rPr>
        <w:t>), en recherchant si les effets de</w:t>
      </w:r>
      <w:r>
        <w:rPr>
          <w:lang w:val="fr-FR"/>
        </w:rPr>
        <w:t xml:space="preserve">s actes </w:t>
      </w:r>
      <w:r w:rsidRPr="00FE5B9D">
        <w:rPr>
          <w:lang w:val="fr-FR"/>
        </w:rPr>
        <w:t>litigieu</w:t>
      </w:r>
      <w:r>
        <w:rPr>
          <w:lang w:val="fr-FR"/>
        </w:rPr>
        <w:t>x</w:t>
      </w:r>
      <w:r w:rsidRPr="00FE5B9D">
        <w:rPr>
          <w:lang w:val="fr-FR"/>
        </w:rPr>
        <w:t xml:space="preserve"> ont porté atteinte aux droits de la défense au point d</w:t>
      </w:r>
      <w:r w:rsidR="0065181A">
        <w:rPr>
          <w:lang w:val="fr-FR"/>
        </w:rPr>
        <w:t>’</w:t>
      </w:r>
      <w:r w:rsidRPr="00FE5B9D">
        <w:rPr>
          <w:lang w:val="fr-FR"/>
        </w:rPr>
        <w:t>enfreindre l</w:t>
      </w:r>
      <w:r w:rsidR="0065181A">
        <w:rPr>
          <w:lang w:val="fr-FR"/>
        </w:rPr>
        <w:t>’</w:t>
      </w:r>
      <w:r w:rsidRPr="00FE5B9D">
        <w:rPr>
          <w:lang w:val="fr-FR"/>
        </w:rPr>
        <w:t>article 6 de la Convention.</w:t>
      </w:r>
    </w:p>
    <w:p w:rsidR="00B654CA" w:rsidRDefault="003242D3" w:rsidP="003242D3">
      <w:pPr>
        <w:pStyle w:val="ECHRPara"/>
        <w:rPr>
          <w:lang w:val="fr-FR"/>
        </w:rPr>
      </w:pPr>
      <w:bookmarkStart w:id="17" w:name="CourrequaeuopportuniteinterrogerX"/>
      <w:r>
        <w:rPr>
          <w:lang w:val="fr-FR"/>
        </w:rPr>
        <w:t>40</w:t>
      </w:r>
      <w:bookmarkEnd w:id="17"/>
      <w:r>
        <w:rPr>
          <w:lang w:val="fr-FR"/>
        </w:rPr>
        <w:t>.  Or, en l</w:t>
      </w:r>
      <w:r w:rsidR="0065181A">
        <w:rPr>
          <w:lang w:val="fr-FR"/>
        </w:rPr>
        <w:t>’</w:t>
      </w:r>
      <w:r>
        <w:rPr>
          <w:lang w:val="fr-FR"/>
        </w:rPr>
        <w:t>espèce le requérant a eu l</w:t>
      </w:r>
      <w:r w:rsidR="0065181A">
        <w:rPr>
          <w:lang w:val="fr-FR"/>
        </w:rPr>
        <w:t>’</w:t>
      </w:r>
      <w:r>
        <w:rPr>
          <w:lang w:val="fr-FR"/>
        </w:rPr>
        <w:t>opportunité de faire interroger X par l</w:t>
      </w:r>
      <w:r w:rsidR="0065181A">
        <w:rPr>
          <w:lang w:val="fr-FR"/>
        </w:rPr>
        <w:t>’</w:t>
      </w:r>
      <w:r>
        <w:rPr>
          <w:lang w:val="fr-FR"/>
        </w:rPr>
        <w:t>intermédiaire de son représentant à l</w:t>
      </w:r>
      <w:r w:rsidR="0065181A">
        <w:rPr>
          <w:lang w:val="fr-FR"/>
        </w:rPr>
        <w:t>’</w:t>
      </w:r>
      <w:r>
        <w:rPr>
          <w:lang w:val="fr-FR"/>
        </w:rPr>
        <w:t>audience du 28 novembre 2011, tenue devant la cour d</w:t>
      </w:r>
      <w:r w:rsidR="0065181A">
        <w:rPr>
          <w:lang w:val="fr-FR"/>
        </w:rPr>
        <w:t>’</w:t>
      </w:r>
      <w:r>
        <w:rPr>
          <w:lang w:val="fr-FR"/>
        </w:rPr>
        <w:t>appel de Milan. Rien ne permet de penser que des restrictions aient été imposées à l</w:t>
      </w:r>
      <w:r w:rsidR="0065181A">
        <w:rPr>
          <w:lang w:val="fr-FR"/>
        </w:rPr>
        <w:t>’</w:t>
      </w:r>
      <w:r>
        <w:rPr>
          <w:lang w:val="fr-FR"/>
        </w:rPr>
        <w:t>avocat du requérant quant aux questions qu</w:t>
      </w:r>
      <w:r w:rsidR="0065181A">
        <w:rPr>
          <w:lang w:val="fr-FR"/>
        </w:rPr>
        <w:t>’</w:t>
      </w:r>
      <w:r>
        <w:rPr>
          <w:lang w:val="fr-FR"/>
        </w:rPr>
        <w:t>il souhaitait poser à ce témoin. La défense a donc joui du droit à un examen contradictoire de l</w:t>
      </w:r>
      <w:r w:rsidR="0065181A">
        <w:rPr>
          <w:lang w:val="fr-FR"/>
        </w:rPr>
        <w:t>’</w:t>
      </w:r>
      <w:r>
        <w:rPr>
          <w:lang w:val="fr-FR"/>
        </w:rPr>
        <w:t xml:space="preserve">élément de preuve à charge constitué par les déclarations de X. </w:t>
      </w:r>
      <w:r>
        <w:rPr>
          <w:rFonts w:cstheme="minorHAnsi"/>
          <w:lang w:val="fr-FR"/>
        </w:rPr>
        <w:t>À</w:t>
      </w:r>
      <w:r>
        <w:rPr>
          <w:lang w:val="fr-FR"/>
        </w:rPr>
        <w:t xml:space="preserve"> cet égard, il convient également d</w:t>
      </w:r>
      <w:r w:rsidR="0065181A">
        <w:rPr>
          <w:lang w:val="fr-FR"/>
        </w:rPr>
        <w:t>’</w:t>
      </w:r>
      <w:r>
        <w:rPr>
          <w:lang w:val="fr-FR"/>
        </w:rPr>
        <w:t>observer que le requérant ne s</w:t>
      </w:r>
      <w:r w:rsidR="0065181A">
        <w:rPr>
          <w:lang w:val="fr-FR"/>
        </w:rPr>
        <w:t>’</w:t>
      </w:r>
      <w:r>
        <w:rPr>
          <w:lang w:val="fr-FR"/>
        </w:rPr>
        <w:t>est pas opposé à l</w:t>
      </w:r>
      <w:r w:rsidR="0065181A">
        <w:rPr>
          <w:lang w:val="fr-FR"/>
        </w:rPr>
        <w:t>’</w:t>
      </w:r>
      <w:r>
        <w:rPr>
          <w:lang w:val="fr-FR"/>
        </w:rPr>
        <w:t>audition de X sollicitée par le parquet en appel (paragraphe</w:t>
      </w:r>
      <w:r w:rsidR="005E6F5D">
        <w:rPr>
          <w:lang w:val="fr-FR"/>
        </w:rPr>
        <w:t xml:space="preserve"> </w:t>
      </w:r>
      <w:r>
        <w:rPr>
          <w:rFonts w:cstheme="minorHAnsi"/>
          <w:lang w:val="fr-FR"/>
        </w:rPr>
        <w:t>19</w:t>
      </w:r>
      <w:r>
        <w:rPr>
          <w:lang w:val="fr-FR"/>
        </w:rPr>
        <w:t xml:space="preserve"> ci-dessus).</w:t>
      </w:r>
    </w:p>
    <w:p w:rsidR="003242D3" w:rsidRDefault="003242D3" w:rsidP="003242D3">
      <w:pPr>
        <w:pStyle w:val="ECHRPara"/>
        <w:rPr>
          <w:lang w:val="fr-FR"/>
        </w:rPr>
      </w:pPr>
      <w:bookmarkStart w:id="18" w:name="rinuncia"/>
      <w:r>
        <w:rPr>
          <w:lang w:val="fr-FR"/>
        </w:rPr>
        <w:t>41</w:t>
      </w:r>
      <w:bookmarkEnd w:id="18"/>
      <w:r>
        <w:rPr>
          <w:lang w:val="fr-FR"/>
        </w:rPr>
        <w:t>.  La Cour relève de surcroît qu</w:t>
      </w:r>
      <w:r w:rsidR="0065181A">
        <w:rPr>
          <w:lang w:val="fr-FR"/>
        </w:rPr>
        <w:t>’</w:t>
      </w:r>
      <w:r>
        <w:rPr>
          <w:lang w:val="fr-FR"/>
        </w:rPr>
        <w:t>en l</w:t>
      </w:r>
      <w:r w:rsidR="0065181A">
        <w:rPr>
          <w:lang w:val="fr-FR"/>
        </w:rPr>
        <w:t>’</w:t>
      </w:r>
      <w:r>
        <w:rPr>
          <w:lang w:val="fr-FR"/>
        </w:rPr>
        <w:t>espèce le requérant a demandé et obtenu d</w:t>
      </w:r>
      <w:r w:rsidR="0065181A">
        <w:rPr>
          <w:lang w:val="fr-FR"/>
        </w:rPr>
        <w:t>’</w:t>
      </w:r>
      <w:r>
        <w:rPr>
          <w:lang w:val="fr-FR"/>
        </w:rPr>
        <w:t>être jugée selon la procédure abrégée. C</w:t>
      </w:r>
      <w:r w:rsidRPr="00C2203B">
        <w:rPr>
          <w:lang w:val="fr-FR"/>
        </w:rPr>
        <w:t xml:space="preserve">ette démarche </w:t>
      </w:r>
      <w:r w:rsidRPr="003242D3">
        <w:rPr>
          <w:rStyle w:val="JuParaSubChar"/>
          <w:lang w:val="fr-FR"/>
        </w:rPr>
        <w:t>entraîne des avantages indéniables pour l</w:t>
      </w:r>
      <w:r w:rsidR="0065181A">
        <w:rPr>
          <w:rStyle w:val="JuParaSubChar"/>
          <w:lang w:val="fr-FR"/>
        </w:rPr>
        <w:t>’</w:t>
      </w:r>
      <w:r w:rsidRPr="003242D3">
        <w:rPr>
          <w:rStyle w:val="JuParaSubChar"/>
          <w:lang w:val="fr-FR"/>
        </w:rPr>
        <w:t>accusé : en cas de condamnation, celui-ci bénéficie d</w:t>
      </w:r>
      <w:r w:rsidR="0065181A">
        <w:rPr>
          <w:rStyle w:val="JuParaSubChar"/>
          <w:lang w:val="fr-FR"/>
        </w:rPr>
        <w:t>’</w:t>
      </w:r>
      <w:r w:rsidRPr="003242D3">
        <w:rPr>
          <w:rStyle w:val="JuParaSubChar"/>
          <w:lang w:val="fr-FR"/>
        </w:rPr>
        <w:t>une importante réduction de peine et le parquet ne peut interjeter appel des jugements de condamnation qui ne modifient pas la qualification juridique de l</w:t>
      </w:r>
      <w:r w:rsidR="0065181A">
        <w:rPr>
          <w:rStyle w:val="JuParaSubChar"/>
          <w:lang w:val="fr-FR"/>
        </w:rPr>
        <w:t>’</w:t>
      </w:r>
      <w:r w:rsidRPr="003242D3">
        <w:rPr>
          <w:rStyle w:val="JuParaSubChar"/>
          <w:lang w:val="fr-FR"/>
        </w:rPr>
        <w:t>infraction (</w:t>
      </w:r>
      <w:r w:rsidRPr="003242D3">
        <w:rPr>
          <w:rStyle w:val="JuParaSubChar"/>
          <w:i/>
          <w:lang w:val="fr-FR"/>
        </w:rPr>
        <w:t>Hermi</w:t>
      </w:r>
      <w:r w:rsidRPr="003242D3">
        <w:rPr>
          <w:rStyle w:val="JuParaSubChar"/>
          <w:lang w:val="fr-FR"/>
        </w:rPr>
        <w:t xml:space="preserve">, précité, § 78 ; </w:t>
      </w:r>
      <w:r w:rsidRPr="00C2203B">
        <w:rPr>
          <w:i/>
          <w:lang w:val="fr-FR"/>
        </w:rPr>
        <w:t>Hany c.</w:t>
      </w:r>
      <w:r w:rsidR="005E6F5D">
        <w:rPr>
          <w:i/>
          <w:lang w:val="fr-FR"/>
        </w:rPr>
        <w:t xml:space="preserve"> </w:t>
      </w:r>
      <w:r w:rsidRPr="00C2203B">
        <w:rPr>
          <w:i/>
          <w:lang w:val="fr-FR"/>
        </w:rPr>
        <w:t xml:space="preserve">Italie </w:t>
      </w:r>
      <w:r w:rsidRPr="00C2203B">
        <w:rPr>
          <w:lang w:val="fr-FR"/>
        </w:rPr>
        <w:t>(déc.), n</w:t>
      </w:r>
      <w:r w:rsidRPr="00C2203B">
        <w:rPr>
          <w:vertAlign w:val="superscript"/>
          <w:lang w:val="fr-FR"/>
        </w:rPr>
        <w:t>o</w:t>
      </w:r>
      <w:r>
        <w:rPr>
          <w:vertAlign w:val="superscript"/>
          <w:lang w:val="fr-FR"/>
        </w:rPr>
        <w:t> </w:t>
      </w:r>
      <w:r w:rsidRPr="00C2203B">
        <w:rPr>
          <w:lang w:val="fr-FR"/>
        </w:rPr>
        <w:t>17543/05, 6 novembre 2007</w:t>
      </w:r>
      <w:r>
        <w:rPr>
          <w:lang w:val="fr-FR"/>
        </w:rPr>
        <w:t xml:space="preserve"> ; et </w:t>
      </w:r>
      <w:r>
        <w:rPr>
          <w:i/>
          <w:lang w:val="fr-FR"/>
        </w:rPr>
        <w:t>Scoppola (n</w:t>
      </w:r>
      <w:r w:rsidRPr="003242D3">
        <w:rPr>
          <w:i/>
          <w:vertAlign w:val="superscript"/>
          <w:lang w:val="fr-FR"/>
        </w:rPr>
        <w:t>o</w:t>
      </w:r>
      <w:r>
        <w:rPr>
          <w:i/>
          <w:lang w:val="fr-FR"/>
        </w:rPr>
        <w:t xml:space="preserve"> 2)</w:t>
      </w:r>
      <w:r>
        <w:rPr>
          <w:lang w:val="fr-FR"/>
        </w:rPr>
        <w:t>, précité, § 134</w:t>
      </w:r>
      <w:r w:rsidRPr="003242D3">
        <w:rPr>
          <w:rStyle w:val="JuParaSubChar"/>
          <w:lang w:val="fr-FR"/>
        </w:rPr>
        <w:t>). Elle est</w:t>
      </w:r>
      <w:r w:rsidRPr="00C2203B">
        <w:rPr>
          <w:lang w:val="fr-FR"/>
        </w:rPr>
        <w:t xml:space="preserve"> cependant assortie d</w:t>
      </w:r>
      <w:r w:rsidR="0065181A">
        <w:rPr>
          <w:lang w:val="fr-FR"/>
        </w:rPr>
        <w:t>’</w:t>
      </w:r>
      <w:r w:rsidRPr="00C2203B">
        <w:rPr>
          <w:lang w:val="fr-FR"/>
        </w:rPr>
        <w:t>un affaiblissement des garanties de procédure offertes par le droit interne, notamment en ce qui concerne la publicité des débats, la possibilité de demander la production d</w:t>
      </w:r>
      <w:r w:rsidR="0065181A">
        <w:rPr>
          <w:lang w:val="fr-FR"/>
        </w:rPr>
        <w:t>’</w:t>
      </w:r>
      <w:r w:rsidRPr="00C2203B">
        <w:rPr>
          <w:lang w:val="fr-FR"/>
        </w:rPr>
        <w:t>éléments de preuve et d</w:t>
      </w:r>
      <w:r w:rsidR="0065181A">
        <w:rPr>
          <w:lang w:val="fr-FR"/>
        </w:rPr>
        <w:t>’</w:t>
      </w:r>
      <w:r w:rsidRPr="00C2203B">
        <w:rPr>
          <w:lang w:val="fr-FR"/>
        </w:rPr>
        <w:t>obtenir la convocation des témoins (</w:t>
      </w:r>
      <w:r w:rsidRPr="00C2203B">
        <w:rPr>
          <w:i/>
          <w:iCs/>
          <w:szCs w:val="24"/>
          <w:lang w:val="fr-FR"/>
        </w:rPr>
        <w:t xml:space="preserve">Kwiatkowska c. Italie </w:t>
      </w:r>
      <w:r w:rsidRPr="00C2203B">
        <w:rPr>
          <w:szCs w:val="24"/>
          <w:lang w:val="fr-FR"/>
        </w:rPr>
        <w:t>(déc.), n</w:t>
      </w:r>
      <w:r w:rsidRPr="00C2203B">
        <w:rPr>
          <w:szCs w:val="24"/>
          <w:vertAlign w:val="superscript"/>
          <w:lang w:val="fr-FR"/>
        </w:rPr>
        <w:t>o</w:t>
      </w:r>
      <w:r w:rsidRPr="00C2203B">
        <w:rPr>
          <w:szCs w:val="24"/>
          <w:lang w:val="fr-FR"/>
        </w:rPr>
        <w:t xml:space="preserve"> 52868/99, 30 novembre 2000). En effet, </w:t>
      </w:r>
      <w:r w:rsidRPr="00C2203B">
        <w:rPr>
          <w:lang w:val="fr-FR"/>
        </w:rPr>
        <w:t>dans le cadre de la procédure abrégée, la production de nouvelles preuves est en principe exclue, la décision devant être prise, sauf exceptions, sur la base des actes contenus dans le dossier du parquet (</w:t>
      </w:r>
      <w:r w:rsidRPr="00C2203B">
        <w:rPr>
          <w:i/>
          <w:lang w:val="fr-FR"/>
        </w:rPr>
        <w:t>Hermi</w:t>
      </w:r>
      <w:r w:rsidRPr="00C2203B">
        <w:rPr>
          <w:lang w:val="fr-FR"/>
        </w:rPr>
        <w:t>, précité, § 87</w:t>
      </w:r>
      <w:r>
        <w:rPr>
          <w:lang w:val="fr-FR"/>
        </w:rPr>
        <w:t>).</w:t>
      </w:r>
    </w:p>
    <w:p w:rsidR="003242D3" w:rsidRDefault="003242D3" w:rsidP="003242D3">
      <w:pPr>
        <w:pStyle w:val="ECHRPara"/>
        <w:rPr>
          <w:lang w:val="fr-FR"/>
        </w:rPr>
      </w:pPr>
      <w:r>
        <w:rPr>
          <w:szCs w:val="24"/>
          <w:lang w:val="fr-FR"/>
        </w:rPr>
        <w:t>42.  </w:t>
      </w:r>
      <w:r w:rsidRPr="00265AEC">
        <w:rPr>
          <w:szCs w:val="24"/>
          <w:lang w:val="fr-FR"/>
        </w:rPr>
        <w:t>La Cour rappelle que, s</w:t>
      </w:r>
      <w:r w:rsidR="0065181A">
        <w:rPr>
          <w:szCs w:val="24"/>
          <w:lang w:val="fr-FR"/>
        </w:rPr>
        <w:t>’</w:t>
      </w:r>
      <w:r w:rsidRPr="00265AEC">
        <w:rPr>
          <w:szCs w:val="24"/>
          <w:lang w:val="fr-FR"/>
        </w:rPr>
        <w:t xml:space="preserve">il est vrai que </w:t>
      </w:r>
      <w:r w:rsidRPr="00265AEC">
        <w:rPr>
          <w:lang w:val="fr-FR"/>
        </w:rPr>
        <w:t>les États contractants ne sont pas contraints par la Convention de prévoir des procédures simplifiées (</w:t>
      </w:r>
      <w:r w:rsidRPr="00265AEC">
        <w:rPr>
          <w:i/>
          <w:lang w:val="fr-FR"/>
        </w:rPr>
        <w:t>Hany</w:t>
      </w:r>
      <w:r w:rsidRPr="00265AEC">
        <w:rPr>
          <w:lang w:val="fr-FR"/>
        </w:rPr>
        <w:t>, décision précitée), il n</w:t>
      </w:r>
      <w:r w:rsidR="0065181A">
        <w:rPr>
          <w:lang w:val="fr-FR"/>
        </w:rPr>
        <w:t>’</w:t>
      </w:r>
      <w:r w:rsidRPr="00265AEC">
        <w:rPr>
          <w:lang w:val="fr-FR"/>
        </w:rPr>
        <w:t xml:space="preserve">en demeure pas moins que, lorsque de telles </w:t>
      </w:r>
      <w:r w:rsidRPr="00265AEC">
        <w:rPr>
          <w:lang w:val="fr-FR"/>
        </w:rPr>
        <w:lastRenderedPageBreak/>
        <w:t>procédures existent et sont adoptées, les principes du procès équitable commandent de ne pas priver arbitrairement un prévenu des avantages qui s</w:t>
      </w:r>
      <w:r w:rsidR="0065181A">
        <w:rPr>
          <w:lang w:val="fr-FR"/>
        </w:rPr>
        <w:t>’</w:t>
      </w:r>
      <w:r w:rsidRPr="00265AEC">
        <w:rPr>
          <w:lang w:val="fr-FR"/>
        </w:rPr>
        <w:t>y rattachent (</w:t>
      </w:r>
      <w:r w:rsidRPr="00265AEC">
        <w:rPr>
          <w:i/>
          <w:lang w:val="fr-FR"/>
        </w:rPr>
        <w:t>Scoppola (n</w:t>
      </w:r>
      <w:r w:rsidRPr="003242D3">
        <w:rPr>
          <w:i/>
          <w:vertAlign w:val="superscript"/>
          <w:lang w:val="fr-FR"/>
        </w:rPr>
        <w:t>o</w:t>
      </w:r>
      <w:r w:rsidRPr="00265AEC">
        <w:rPr>
          <w:i/>
          <w:lang w:val="fr-FR"/>
        </w:rPr>
        <w:t xml:space="preserve"> 2)</w:t>
      </w:r>
      <w:r w:rsidRPr="00265AEC">
        <w:rPr>
          <w:lang w:val="fr-FR"/>
        </w:rPr>
        <w:t>, précité, § 139</w:t>
      </w:r>
      <w:r w:rsidRPr="00265AEC">
        <w:rPr>
          <w:iCs/>
          <w:szCs w:val="24"/>
          <w:lang w:val="fr-FR"/>
        </w:rPr>
        <w:t>)</w:t>
      </w:r>
      <w:r w:rsidRPr="00265AEC">
        <w:rPr>
          <w:lang w:val="fr-FR"/>
        </w:rPr>
        <w:t>.</w:t>
      </w:r>
    </w:p>
    <w:p w:rsidR="003242D3" w:rsidRDefault="003242D3" w:rsidP="003242D3">
      <w:pPr>
        <w:pStyle w:val="ECHRPara"/>
        <w:rPr>
          <w:lang w:val="fr-FR"/>
        </w:rPr>
      </w:pPr>
      <w:bookmarkStart w:id="19" w:name="Courrequpaspriveavantagesprocabbr"/>
      <w:r>
        <w:rPr>
          <w:lang w:val="fr-FR"/>
        </w:rPr>
        <w:t>43</w:t>
      </w:r>
      <w:bookmarkEnd w:id="19"/>
      <w:r>
        <w:rPr>
          <w:lang w:val="fr-FR"/>
        </w:rPr>
        <w:t>.  La Cour est d</w:t>
      </w:r>
      <w:r w:rsidR="0065181A">
        <w:rPr>
          <w:lang w:val="fr-FR"/>
        </w:rPr>
        <w:t>’</w:t>
      </w:r>
      <w:r>
        <w:rPr>
          <w:lang w:val="fr-FR"/>
        </w:rPr>
        <w:t>avis qu</w:t>
      </w:r>
      <w:r w:rsidR="0065181A">
        <w:rPr>
          <w:lang w:val="fr-FR"/>
        </w:rPr>
        <w:t>’</w:t>
      </w:r>
      <w:r>
        <w:rPr>
          <w:lang w:val="fr-FR"/>
        </w:rPr>
        <w:t>en l</w:t>
      </w:r>
      <w:r w:rsidR="0065181A">
        <w:rPr>
          <w:lang w:val="fr-FR"/>
        </w:rPr>
        <w:t>’</w:t>
      </w:r>
      <w:r>
        <w:rPr>
          <w:lang w:val="fr-FR"/>
        </w:rPr>
        <w:t>espèce le requérant n</w:t>
      </w:r>
      <w:r w:rsidR="0065181A">
        <w:rPr>
          <w:lang w:val="fr-FR"/>
        </w:rPr>
        <w:t>’</w:t>
      </w:r>
      <w:r>
        <w:rPr>
          <w:lang w:val="fr-FR"/>
        </w:rPr>
        <w:t>a pas subi une telle privation. En effet, non seulement le GIP de Pavie a appliqué la réduction de peine découlant du choix de procédur</w:t>
      </w:r>
      <w:r w:rsidR="00864205">
        <w:rPr>
          <w:lang w:val="fr-FR"/>
        </w:rPr>
        <w:t>e de l</w:t>
      </w:r>
      <w:r w:rsidR="0065181A">
        <w:rPr>
          <w:lang w:val="fr-FR"/>
        </w:rPr>
        <w:t>’</w:t>
      </w:r>
      <w:r w:rsidR="00864205">
        <w:rPr>
          <w:lang w:val="fr-FR"/>
        </w:rPr>
        <w:t>accusé (paragraphe 15 ci</w:t>
      </w:r>
      <w:r w:rsidR="00864205">
        <w:rPr>
          <w:lang w:val="fr-FR"/>
        </w:rPr>
        <w:noBreakHyphen/>
      </w:r>
      <w:r>
        <w:rPr>
          <w:lang w:val="fr-FR"/>
        </w:rPr>
        <w:t>dessus), mais, en dépit de sa renonciation implicite au droit d</w:t>
      </w:r>
      <w:r w:rsidR="0065181A">
        <w:rPr>
          <w:lang w:val="fr-FR"/>
        </w:rPr>
        <w:t>’</w:t>
      </w:r>
      <w:r>
        <w:rPr>
          <w:lang w:val="fr-FR"/>
        </w:rPr>
        <w:t>interroger les témoins à charge (paragraphe 41 ci-dessus), la défense a eu l</w:t>
      </w:r>
      <w:r w:rsidR="0065181A">
        <w:rPr>
          <w:lang w:val="fr-FR"/>
        </w:rPr>
        <w:t>’</w:t>
      </w:r>
      <w:r>
        <w:rPr>
          <w:lang w:val="fr-FR"/>
        </w:rPr>
        <w:t>opportunité de poser des questions à X lors de l</w:t>
      </w:r>
      <w:r w:rsidR="0065181A">
        <w:rPr>
          <w:lang w:val="fr-FR"/>
        </w:rPr>
        <w:t>’</w:t>
      </w:r>
      <w:r>
        <w:rPr>
          <w:lang w:val="fr-FR"/>
        </w:rPr>
        <w:t xml:space="preserve">audience du 28 novembre 2011 (paragraphe 40 ci-dessus ; voir également, </w:t>
      </w:r>
      <w:r>
        <w:rPr>
          <w:i/>
          <w:lang w:val="fr-FR"/>
        </w:rPr>
        <w:t>a contrario</w:t>
      </w:r>
      <w:r>
        <w:rPr>
          <w:lang w:val="fr-FR"/>
        </w:rPr>
        <w:t>, l</w:t>
      </w:r>
      <w:r w:rsidR="0065181A">
        <w:rPr>
          <w:lang w:val="fr-FR"/>
        </w:rPr>
        <w:t>’</w:t>
      </w:r>
      <w:r>
        <w:rPr>
          <w:lang w:val="fr-FR"/>
        </w:rPr>
        <w:t>arrêt dans l</w:t>
      </w:r>
      <w:r w:rsidR="0065181A">
        <w:rPr>
          <w:lang w:val="fr-FR"/>
        </w:rPr>
        <w:t>’</w:t>
      </w:r>
      <w:r>
        <w:rPr>
          <w:lang w:val="fr-FR"/>
        </w:rPr>
        <w:t xml:space="preserve">affaire </w:t>
      </w:r>
      <w:r>
        <w:rPr>
          <w:i/>
          <w:lang w:val="fr-FR"/>
        </w:rPr>
        <w:t>Scoppola (n</w:t>
      </w:r>
      <w:r w:rsidRPr="003242D3">
        <w:rPr>
          <w:i/>
          <w:vertAlign w:val="superscript"/>
          <w:lang w:val="fr-FR"/>
        </w:rPr>
        <w:t>o</w:t>
      </w:r>
      <w:r>
        <w:rPr>
          <w:i/>
          <w:lang w:val="fr-FR"/>
        </w:rPr>
        <w:t xml:space="preserve"> 2)</w:t>
      </w:r>
      <w:r>
        <w:rPr>
          <w:lang w:val="fr-FR"/>
        </w:rPr>
        <w:t>, précité, §§ 134-144, où la Cour a conclu à la violation de l</w:t>
      </w:r>
      <w:r w:rsidR="0065181A">
        <w:rPr>
          <w:lang w:val="fr-FR"/>
        </w:rPr>
        <w:t>’</w:t>
      </w:r>
      <w:r>
        <w:rPr>
          <w:lang w:val="fr-FR"/>
        </w:rPr>
        <w:t>article 6 de la Convention au motif que le requérant avait été privé d</w:t>
      </w:r>
      <w:r w:rsidR="0065181A">
        <w:rPr>
          <w:lang w:val="fr-FR"/>
        </w:rPr>
        <w:t>’</w:t>
      </w:r>
      <w:r>
        <w:rPr>
          <w:lang w:val="fr-FR"/>
        </w:rPr>
        <w:t>un bénéfice essentiel garanti par la loi et qui était à l</w:t>
      </w:r>
      <w:r w:rsidR="0065181A">
        <w:rPr>
          <w:lang w:val="fr-FR"/>
        </w:rPr>
        <w:t>’</w:t>
      </w:r>
      <w:r>
        <w:rPr>
          <w:lang w:val="fr-FR"/>
        </w:rPr>
        <w:t>origine de son choix d</w:t>
      </w:r>
      <w:r w:rsidR="0065181A">
        <w:rPr>
          <w:lang w:val="fr-FR"/>
        </w:rPr>
        <w:t>’</w:t>
      </w:r>
      <w:r>
        <w:rPr>
          <w:lang w:val="fr-FR"/>
        </w:rPr>
        <w:t>être jugé selon la procédure abrégée, à savoir la non-infliction de la réclusion criminelle à perpétuité</w:t>
      </w:r>
      <w:r w:rsidRPr="00C2203B">
        <w:rPr>
          <w:iCs/>
          <w:szCs w:val="24"/>
          <w:lang w:val="fr-FR"/>
        </w:rPr>
        <w:t>)</w:t>
      </w:r>
      <w:r>
        <w:rPr>
          <w:iCs/>
          <w:szCs w:val="24"/>
          <w:lang w:val="fr-FR"/>
        </w:rPr>
        <w:t>.</w:t>
      </w:r>
    </w:p>
    <w:p w:rsidR="00B654CA" w:rsidRDefault="003242D3" w:rsidP="003242D3">
      <w:pPr>
        <w:pStyle w:val="ECHRPara"/>
        <w:rPr>
          <w:lang w:val="fr-FR"/>
        </w:rPr>
      </w:pPr>
      <w:r>
        <w:rPr>
          <w:lang w:val="fr-FR"/>
        </w:rPr>
        <w:t>44.  Pour ce qui e</w:t>
      </w:r>
      <w:r w:rsidR="00AA18A7">
        <w:rPr>
          <w:lang w:val="fr-FR"/>
        </w:rPr>
        <w:t xml:space="preserve">st des allégations du requérant </w:t>
      </w:r>
      <w:r>
        <w:rPr>
          <w:lang w:val="fr-FR"/>
        </w:rPr>
        <w:t>tirées d</w:t>
      </w:r>
      <w:r w:rsidR="0065181A">
        <w:rPr>
          <w:lang w:val="fr-FR"/>
        </w:rPr>
        <w:t>’</w:t>
      </w:r>
      <w:r>
        <w:rPr>
          <w:lang w:val="fr-FR"/>
        </w:rPr>
        <w:t>un manque d</w:t>
      </w:r>
      <w:r w:rsidR="0065181A">
        <w:rPr>
          <w:lang w:val="fr-FR"/>
        </w:rPr>
        <w:t>’</w:t>
      </w:r>
      <w:r>
        <w:rPr>
          <w:lang w:val="fr-FR"/>
        </w:rPr>
        <w:t>impartialité des juridictions nationales, la Cour note que rien dans le dossier ne permet de déceler un parti pris de la part des tribunaux internes. L</w:t>
      </w:r>
      <w:r w:rsidR="0065181A">
        <w:rPr>
          <w:lang w:val="fr-FR"/>
        </w:rPr>
        <w:t>’</w:t>
      </w:r>
      <w:r>
        <w:rPr>
          <w:lang w:val="fr-FR"/>
        </w:rPr>
        <w:t>affirmation du GIP selon laquelle l</w:t>
      </w:r>
      <w:r w:rsidR="0065181A">
        <w:rPr>
          <w:lang w:val="fr-FR"/>
        </w:rPr>
        <w:t>’</w:t>
      </w:r>
      <w:r>
        <w:rPr>
          <w:lang w:val="fr-FR"/>
        </w:rPr>
        <w:t>importance de l</w:t>
      </w:r>
      <w:r w:rsidR="0065181A">
        <w:rPr>
          <w:lang w:val="fr-FR"/>
        </w:rPr>
        <w:t>’</w:t>
      </w:r>
      <w:r>
        <w:rPr>
          <w:lang w:val="fr-FR"/>
        </w:rPr>
        <w:t>interrogatoire de X était « évidente » constitue, aux yeux de la Cour, une simple appréciation de la force probatoire potentielle de l</w:t>
      </w:r>
      <w:r w:rsidR="0065181A">
        <w:rPr>
          <w:lang w:val="fr-FR"/>
        </w:rPr>
        <w:t>’</w:t>
      </w:r>
      <w:r>
        <w:rPr>
          <w:lang w:val="fr-FR"/>
        </w:rPr>
        <w:t>un des éléments de preuve à charge versés au dossier. Elle ne renferme aucune anticipation quant à la crédibilité qui aurait pu être accordée au témoin en question.</w:t>
      </w:r>
    </w:p>
    <w:p w:rsidR="003242D3" w:rsidRDefault="003242D3" w:rsidP="003242D3">
      <w:pPr>
        <w:pStyle w:val="ECHRPara"/>
        <w:rPr>
          <w:lang w:val="fr-FR"/>
        </w:rPr>
      </w:pPr>
      <w:r>
        <w:rPr>
          <w:lang w:val="fr-FR"/>
        </w:rPr>
        <w:t>45.  Enfin, la Cour ne saurait déceler aucune apparence de violation du principe de la présomption d</w:t>
      </w:r>
      <w:r w:rsidR="0065181A">
        <w:rPr>
          <w:lang w:val="fr-FR"/>
        </w:rPr>
        <w:t>’</w:t>
      </w:r>
      <w:r>
        <w:rPr>
          <w:lang w:val="fr-FR"/>
        </w:rPr>
        <w:t>innocence, le requérant n</w:t>
      </w:r>
      <w:r w:rsidR="0065181A">
        <w:rPr>
          <w:lang w:val="fr-FR"/>
        </w:rPr>
        <w:t>’</w:t>
      </w:r>
      <w:r>
        <w:rPr>
          <w:lang w:val="fr-FR"/>
        </w:rPr>
        <w:t xml:space="preserve">ayant jamais été présenté comme coupable avant le prononcé de sa condamnation (voir, </w:t>
      </w:r>
      <w:r>
        <w:rPr>
          <w:i/>
          <w:lang w:val="fr-FR"/>
        </w:rPr>
        <w:t xml:space="preserve">mutatis mutandis </w:t>
      </w:r>
      <w:r>
        <w:rPr>
          <w:lang w:val="fr-FR"/>
        </w:rPr>
        <w:t xml:space="preserve">et </w:t>
      </w:r>
      <w:r>
        <w:rPr>
          <w:i/>
          <w:lang w:val="fr-FR"/>
        </w:rPr>
        <w:t>a fortiori</w:t>
      </w:r>
      <w:r>
        <w:rPr>
          <w:lang w:val="fr-FR"/>
        </w:rPr>
        <w:t xml:space="preserve">, </w:t>
      </w:r>
      <w:r>
        <w:rPr>
          <w:i/>
          <w:lang w:val="fr-FR"/>
        </w:rPr>
        <w:t>Marziano c. Italie</w:t>
      </w:r>
      <w:r>
        <w:rPr>
          <w:lang w:val="fr-FR"/>
        </w:rPr>
        <w:t>, n</w:t>
      </w:r>
      <w:r w:rsidRPr="003242D3">
        <w:rPr>
          <w:vertAlign w:val="superscript"/>
          <w:lang w:val="fr-FR"/>
        </w:rPr>
        <w:t>o</w:t>
      </w:r>
      <w:r>
        <w:rPr>
          <w:lang w:val="fr-FR"/>
        </w:rPr>
        <w:t xml:space="preserve"> 45313/99, §§ 28-32, 28 novembre 2002).</w:t>
      </w:r>
    </w:p>
    <w:p w:rsidR="003242D3" w:rsidRPr="00A65BC8" w:rsidRDefault="003242D3" w:rsidP="003242D3">
      <w:pPr>
        <w:pStyle w:val="ECHRPara"/>
        <w:rPr>
          <w:lang w:val="fr-FR"/>
        </w:rPr>
      </w:pPr>
      <w:r>
        <w:rPr>
          <w:lang w:val="fr-FR"/>
        </w:rPr>
        <w:t>46.  </w:t>
      </w:r>
      <w:r w:rsidRPr="00A65BC8">
        <w:rPr>
          <w:snapToGrid w:val="0"/>
          <w:lang w:val="fr-FR"/>
        </w:rPr>
        <w:t>Il s</w:t>
      </w:r>
      <w:r w:rsidR="0065181A">
        <w:rPr>
          <w:snapToGrid w:val="0"/>
          <w:lang w:val="fr-FR"/>
        </w:rPr>
        <w:t>’</w:t>
      </w:r>
      <w:r w:rsidRPr="00A65BC8">
        <w:rPr>
          <w:snapToGrid w:val="0"/>
          <w:lang w:val="fr-FR"/>
        </w:rPr>
        <w:t>ensuit que ce grief est manifestement mal fondé et doit être rejeté en application de l</w:t>
      </w:r>
      <w:r w:rsidR="0065181A">
        <w:rPr>
          <w:snapToGrid w:val="0"/>
          <w:lang w:val="fr-FR"/>
        </w:rPr>
        <w:t>’</w:t>
      </w:r>
      <w:r w:rsidRPr="00A65BC8">
        <w:rPr>
          <w:snapToGrid w:val="0"/>
          <w:lang w:val="fr-FR"/>
        </w:rPr>
        <w:t>article 35 §§ 3 </w:t>
      </w:r>
      <w:r w:rsidRPr="00A65BC8">
        <w:rPr>
          <w:lang w:val="fr-FR"/>
        </w:rPr>
        <w:t xml:space="preserve">a) </w:t>
      </w:r>
      <w:r w:rsidRPr="00A65BC8">
        <w:rPr>
          <w:snapToGrid w:val="0"/>
          <w:lang w:val="fr-FR"/>
        </w:rPr>
        <w:t>et 4 de la Convention.</w:t>
      </w:r>
    </w:p>
    <w:p w:rsidR="003242D3" w:rsidRDefault="003242D3" w:rsidP="003242D3">
      <w:pPr>
        <w:pStyle w:val="ECHRHeading3"/>
        <w:rPr>
          <w:lang w:val="fr-FR"/>
        </w:rPr>
      </w:pPr>
      <w:r>
        <w:rPr>
          <w:lang w:val="fr-FR"/>
        </w:rPr>
        <w:t>2.  Grief tiré de l</w:t>
      </w:r>
      <w:r w:rsidR="0065181A">
        <w:rPr>
          <w:lang w:val="fr-FR"/>
        </w:rPr>
        <w:t>’</w:t>
      </w:r>
      <w:r>
        <w:rPr>
          <w:lang w:val="fr-FR"/>
        </w:rPr>
        <w:t>impossibilité alléguée d</w:t>
      </w:r>
      <w:r w:rsidR="0065181A">
        <w:rPr>
          <w:lang w:val="fr-FR"/>
        </w:rPr>
        <w:t>’</w:t>
      </w:r>
      <w:r>
        <w:rPr>
          <w:lang w:val="fr-FR"/>
        </w:rPr>
        <w:t>invoquer les dispositions en matière infraction « continuée »</w:t>
      </w:r>
    </w:p>
    <w:p w:rsidR="003242D3" w:rsidRDefault="003242D3" w:rsidP="003242D3">
      <w:pPr>
        <w:pStyle w:val="ECHRPara"/>
        <w:rPr>
          <w:lang w:val="fr-FR"/>
        </w:rPr>
      </w:pPr>
      <w:r>
        <w:rPr>
          <w:lang w:val="fr-FR"/>
        </w:rPr>
        <w:t>47.  Le requérant se plaint en outre de ne pas avoir pu invoquer les dispositions en matière d</w:t>
      </w:r>
      <w:r w:rsidR="0065181A">
        <w:rPr>
          <w:lang w:val="fr-FR"/>
        </w:rPr>
        <w:t>’</w:t>
      </w:r>
      <w:r>
        <w:rPr>
          <w:lang w:val="fr-FR"/>
        </w:rPr>
        <w:t>infraction « continuée » (paragraphe 28 ci-dessus) devant les juridictions du fond, le vol à main armée de Bereguardo ayant été jugé séparément des autres vols à main armée qu</w:t>
      </w:r>
      <w:r w:rsidR="0065181A">
        <w:rPr>
          <w:lang w:val="fr-FR"/>
        </w:rPr>
        <w:t>’</w:t>
      </w:r>
      <w:r>
        <w:rPr>
          <w:lang w:val="fr-FR"/>
        </w:rPr>
        <w:t>on lui reprochait. En effet, le parquet a décidé de poursuivre devant des juridictions différentes des faits similaires, qui selon le requérant étaient liés par un même « dessin criminel ». Ceci a conduit à l</w:t>
      </w:r>
      <w:r w:rsidR="0065181A">
        <w:rPr>
          <w:lang w:val="fr-FR"/>
        </w:rPr>
        <w:t>’</w:t>
      </w:r>
      <w:r>
        <w:rPr>
          <w:lang w:val="fr-FR"/>
        </w:rPr>
        <w:t>infliction de plusieurs peines au lieu d</w:t>
      </w:r>
      <w:r w:rsidR="0065181A">
        <w:rPr>
          <w:lang w:val="fr-FR"/>
        </w:rPr>
        <w:t>’</w:t>
      </w:r>
      <w:r>
        <w:rPr>
          <w:lang w:val="fr-FR"/>
        </w:rPr>
        <w:t xml:space="preserve">une peine unique, et aurait rendu </w:t>
      </w:r>
      <w:r w:rsidRPr="00844176">
        <w:rPr>
          <w:i/>
          <w:lang w:val="fr-FR"/>
        </w:rPr>
        <w:t>a posteriori</w:t>
      </w:r>
      <w:r>
        <w:rPr>
          <w:lang w:val="fr-FR"/>
        </w:rPr>
        <w:t xml:space="preserve"> inefficace et préjudiciable le choix de l</w:t>
      </w:r>
      <w:r w:rsidR="0065181A">
        <w:rPr>
          <w:lang w:val="fr-FR"/>
        </w:rPr>
        <w:t>’</w:t>
      </w:r>
      <w:r>
        <w:rPr>
          <w:lang w:val="fr-FR"/>
        </w:rPr>
        <w:t>accusé d</w:t>
      </w:r>
      <w:r w:rsidR="0065181A">
        <w:rPr>
          <w:lang w:val="fr-FR"/>
        </w:rPr>
        <w:t>’</w:t>
      </w:r>
      <w:r>
        <w:rPr>
          <w:lang w:val="fr-FR"/>
        </w:rPr>
        <w:t>être jugé selon la procédure abrégée.</w:t>
      </w:r>
    </w:p>
    <w:p w:rsidR="003242D3" w:rsidRDefault="003242D3" w:rsidP="003242D3">
      <w:pPr>
        <w:pStyle w:val="ECHRPara"/>
        <w:rPr>
          <w:lang w:val="fr-FR"/>
        </w:rPr>
      </w:pPr>
      <w:bookmarkStart w:id="20" w:name="requesecuzmoinsfavorable"/>
      <w:r>
        <w:rPr>
          <w:lang w:val="fr-FR"/>
        </w:rPr>
        <w:t>48</w:t>
      </w:r>
      <w:bookmarkEnd w:id="20"/>
      <w:r>
        <w:rPr>
          <w:lang w:val="fr-FR"/>
        </w:rPr>
        <w:t>.  L</w:t>
      </w:r>
      <w:r w:rsidRPr="003939E9">
        <w:rPr>
          <w:lang w:val="fr-FR"/>
        </w:rPr>
        <w:t xml:space="preserve">e requérant </w:t>
      </w:r>
      <w:r>
        <w:rPr>
          <w:lang w:val="fr-FR"/>
        </w:rPr>
        <w:t>reconnait qu</w:t>
      </w:r>
      <w:r w:rsidR="0065181A">
        <w:rPr>
          <w:lang w:val="fr-FR"/>
        </w:rPr>
        <w:t>’</w:t>
      </w:r>
      <w:r>
        <w:rPr>
          <w:lang w:val="fr-FR"/>
        </w:rPr>
        <w:t>il pourra demander l</w:t>
      </w:r>
      <w:r w:rsidR="0065181A">
        <w:rPr>
          <w:lang w:val="fr-FR"/>
        </w:rPr>
        <w:t>’</w:t>
      </w:r>
      <w:r>
        <w:rPr>
          <w:lang w:val="fr-FR"/>
        </w:rPr>
        <w:t>application de l</w:t>
      </w:r>
      <w:r w:rsidR="0065181A">
        <w:rPr>
          <w:lang w:val="fr-FR"/>
        </w:rPr>
        <w:t>’</w:t>
      </w:r>
      <w:r>
        <w:rPr>
          <w:lang w:val="fr-FR"/>
        </w:rPr>
        <w:t>article 81 § 2 du CP dans la phase de l</w:t>
      </w:r>
      <w:r w:rsidR="0065181A">
        <w:rPr>
          <w:lang w:val="fr-FR"/>
        </w:rPr>
        <w:t>’</w:t>
      </w:r>
      <w:r>
        <w:rPr>
          <w:lang w:val="fr-FR"/>
        </w:rPr>
        <w:t>exécution.</w:t>
      </w:r>
      <w:r w:rsidR="005E6F5D">
        <w:rPr>
          <w:lang w:val="fr-FR"/>
        </w:rPr>
        <w:t xml:space="preserve"> </w:t>
      </w:r>
      <w:r>
        <w:rPr>
          <w:lang w:val="fr-FR"/>
        </w:rPr>
        <w:t xml:space="preserve">Cependant, lors de cette </w:t>
      </w:r>
      <w:r>
        <w:rPr>
          <w:lang w:val="fr-FR"/>
        </w:rPr>
        <w:lastRenderedPageBreak/>
        <w:t>dernière phase, l</w:t>
      </w:r>
      <w:r w:rsidR="0065181A">
        <w:rPr>
          <w:lang w:val="fr-FR"/>
        </w:rPr>
        <w:t>’</w:t>
      </w:r>
      <w:r>
        <w:rPr>
          <w:lang w:val="fr-FR"/>
        </w:rPr>
        <w:t>infraction « plus grave » serait déterminée non pas par rapport aux faits délictueux, mais en fonction de la peine qui a été infligée par le juge du fond. Or, en l</w:t>
      </w:r>
      <w:r w:rsidR="0065181A">
        <w:rPr>
          <w:lang w:val="fr-FR"/>
        </w:rPr>
        <w:t>’</w:t>
      </w:r>
      <w:r>
        <w:rPr>
          <w:lang w:val="fr-FR"/>
        </w:rPr>
        <w:t>espèce, la sentence qui lui a été imposée pour l</w:t>
      </w:r>
      <w:r w:rsidR="0065181A">
        <w:rPr>
          <w:lang w:val="fr-FR"/>
        </w:rPr>
        <w:t>’</w:t>
      </w:r>
      <w:r>
        <w:rPr>
          <w:lang w:val="fr-FR"/>
        </w:rPr>
        <w:t>épisode de Bereguardo l</w:t>
      </w:r>
      <w:r w:rsidR="0065181A">
        <w:rPr>
          <w:lang w:val="fr-FR"/>
        </w:rPr>
        <w:t>’</w:t>
      </w:r>
      <w:r>
        <w:rPr>
          <w:lang w:val="fr-FR"/>
        </w:rPr>
        <w:t>aurait sanctionné pour ses choix de procédure et pour avoir exercé son droit de garder le silence. Il s</w:t>
      </w:r>
      <w:r w:rsidR="0065181A">
        <w:rPr>
          <w:lang w:val="fr-FR"/>
        </w:rPr>
        <w:t>’</w:t>
      </w:r>
      <w:r>
        <w:rPr>
          <w:lang w:val="fr-FR"/>
        </w:rPr>
        <w:t>agit de la « plus grave » des condamnations qui lui ont été infligées pour les neuf vols à main armée dont il a été jugé coupable. Le requérant souligne également qu</w:t>
      </w:r>
      <w:r w:rsidR="0065181A">
        <w:rPr>
          <w:lang w:val="fr-FR"/>
        </w:rPr>
        <w:t>’</w:t>
      </w:r>
      <w:r>
        <w:rPr>
          <w:lang w:val="fr-FR"/>
        </w:rPr>
        <w:t>il a été condamné à dix ans d</w:t>
      </w:r>
      <w:r w:rsidR="0065181A">
        <w:rPr>
          <w:lang w:val="fr-FR"/>
        </w:rPr>
        <w:t>’</w:t>
      </w:r>
      <w:r>
        <w:rPr>
          <w:lang w:val="fr-FR"/>
        </w:rPr>
        <w:t>emprisonnement, alors que son complice présumé X a obtenu une peine négociée de deux ans et deux mois d</w:t>
      </w:r>
      <w:r w:rsidR="0065181A">
        <w:rPr>
          <w:lang w:val="fr-FR"/>
        </w:rPr>
        <w:t>’</w:t>
      </w:r>
      <w:r>
        <w:rPr>
          <w:lang w:val="fr-FR"/>
        </w:rPr>
        <w:t>emprisonnement (paragraphe 12 ci-dessus).</w:t>
      </w:r>
    </w:p>
    <w:p w:rsidR="003242D3" w:rsidRPr="00CD56CD" w:rsidRDefault="003242D3" w:rsidP="003242D3">
      <w:pPr>
        <w:pStyle w:val="ECHRPara"/>
        <w:rPr>
          <w:lang w:val="fr-FR"/>
        </w:rPr>
      </w:pPr>
      <w:r>
        <w:rPr>
          <w:lang w:val="fr-FR"/>
        </w:rPr>
        <w:t>49.  Quant à ce dernier point, la Cour observe que, à la différence du requérant, X a décidé d</w:t>
      </w:r>
      <w:r w:rsidR="0065181A">
        <w:rPr>
          <w:lang w:val="fr-FR"/>
        </w:rPr>
        <w:t>’</w:t>
      </w:r>
      <w:r>
        <w:rPr>
          <w:lang w:val="fr-FR"/>
        </w:rPr>
        <w:t xml:space="preserve">avouer sa culpabilité pour le vol à main armée commis à Bereguardo et a aidé les autorités à identifier ses complices. Il a en outre choisi de négocier une peine avec le parquet. Sa situation semble donc différente de celle du requérant. En tout état de cause, </w:t>
      </w:r>
      <w:r w:rsidRPr="00B96A20">
        <w:rPr>
          <w:lang w:val="fr-FR" w:bidi="en-US"/>
        </w:rPr>
        <w:t>le fait que d</w:t>
      </w:r>
      <w:r w:rsidR="0065181A">
        <w:rPr>
          <w:lang w:val="fr-FR" w:bidi="en-US"/>
        </w:rPr>
        <w:t>’</w:t>
      </w:r>
      <w:r w:rsidRPr="00B96A20">
        <w:rPr>
          <w:lang w:val="fr-FR" w:bidi="en-US"/>
        </w:rPr>
        <w:t>autres personnes aient été traitées avec plus d</w:t>
      </w:r>
      <w:r w:rsidR="0065181A">
        <w:rPr>
          <w:lang w:val="fr-FR" w:bidi="en-US"/>
        </w:rPr>
        <w:t>’</w:t>
      </w:r>
      <w:r w:rsidRPr="00B96A20">
        <w:rPr>
          <w:lang w:val="fr-FR" w:bidi="en-US"/>
        </w:rPr>
        <w:t>indulgence n</w:t>
      </w:r>
      <w:r w:rsidR="0065181A">
        <w:rPr>
          <w:lang w:val="fr-FR" w:bidi="en-US"/>
        </w:rPr>
        <w:t>’</w:t>
      </w:r>
      <w:r w:rsidRPr="00B96A20">
        <w:rPr>
          <w:lang w:val="fr-FR" w:bidi="en-US"/>
        </w:rPr>
        <w:t>implique pas nécessairement que l</w:t>
      </w:r>
      <w:r>
        <w:rPr>
          <w:lang w:val="fr-FR" w:bidi="en-US"/>
        </w:rPr>
        <w:t>a peine</w:t>
      </w:r>
      <w:r w:rsidRPr="00B96A20">
        <w:rPr>
          <w:lang w:val="fr-FR" w:bidi="en-US"/>
        </w:rPr>
        <w:t xml:space="preserve"> infligée au requérant était </w:t>
      </w:r>
      <w:r>
        <w:rPr>
          <w:lang w:val="fr-FR" w:bidi="en-US"/>
        </w:rPr>
        <w:t xml:space="preserve">arbitraire ou manifestement </w:t>
      </w:r>
      <w:r w:rsidRPr="00B96A20">
        <w:rPr>
          <w:lang w:val="fr-FR" w:bidi="en-US"/>
        </w:rPr>
        <w:t>disproportionnée</w:t>
      </w:r>
      <w:r>
        <w:rPr>
          <w:lang w:val="fr-FR" w:bidi="en-US"/>
        </w:rPr>
        <w:t xml:space="preserve"> (voir, </w:t>
      </w:r>
      <w:r>
        <w:rPr>
          <w:i/>
          <w:lang w:val="fr-FR" w:bidi="en-US"/>
        </w:rPr>
        <w:t xml:space="preserve">mutatis mutandis </w:t>
      </w:r>
      <w:r>
        <w:rPr>
          <w:lang w:val="fr-FR" w:bidi="en-US"/>
        </w:rPr>
        <w:t>et dans le cadre de l</w:t>
      </w:r>
      <w:r w:rsidR="0065181A">
        <w:rPr>
          <w:lang w:val="fr-FR" w:bidi="en-US"/>
        </w:rPr>
        <w:t>’</w:t>
      </w:r>
      <w:r>
        <w:rPr>
          <w:lang w:val="fr-FR" w:bidi="en-US"/>
        </w:rPr>
        <w:t xml:space="preserve">article 11 de la Convention, </w:t>
      </w:r>
      <w:r w:rsidRPr="00CD56CD">
        <w:rPr>
          <w:i/>
          <w:lang w:val="fr-FR"/>
        </w:rPr>
        <w:t>Kudrevičius et autres c.</w:t>
      </w:r>
      <w:r>
        <w:rPr>
          <w:i/>
          <w:lang w:val="fr-FR"/>
        </w:rPr>
        <w:t> </w:t>
      </w:r>
      <w:r w:rsidRPr="00CD56CD">
        <w:rPr>
          <w:i/>
          <w:lang w:val="fr-FR"/>
        </w:rPr>
        <w:t>Lituanie</w:t>
      </w:r>
      <w:r>
        <w:rPr>
          <w:lang w:val="fr-FR"/>
        </w:rPr>
        <w:t xml:space="preserve"> [GC], n</w:t>
      </w:r>
      <w:r w:rsidRPr="003242D3">
        <w:rPr>
          <w:vertAlign w:val="superscript"/>
          <w:lang w:val="fr-FR"/>
        </w:rPr>
        <w:t>o</w:t>
      </w:r>
      <w:r>
        <w:rPr>
          <w:lang w:val="fr-FR"/>
        </w:rPr>
        <w:t> </w:t>
      </w:r>
      <w:r w:rsidRPr="00B96A20">
        <w:rPr>
          <w:lang w:val="fr-FR"/>
        </w:rPr>
        <w:t>37553/05</w:t>
      </w:r>
      <w:r>
        <w:rPr>
          <w:lang w:val="fr-FR"/>
        </w:rPr>
        <w:t>, § 181, 15 octobre 2015).</w:t>
      </w:r>
    </w:p>
    <w:p w:rsidR="003242D3" w:rsidRDefault="003242D3" w:rsidP="003242D3">
      <w:pPr>
        <w:pStyle w:val="ECHRPara"/>
        <w:rPr>
          <w:lang w:val="fr-FR"/>
        </w:rPr>
      </w:pPr>
      <w:r>
        <w:rPr>
          <w:lang w:val="fr-FR"/>
        </w:rPr>
        <w:t>50.  La Cour relève ensuite que les doléances du requérant ont trait au fait que les nombreux vols à main armée dont il était accusé ont été jugés séparément, ce qui lui aurait empêché d</w:t>
      </w:r>
      <w:r w:rsidR="0065181A">
        <w:rPr>
          <w:lang w:val="fr-FR"/>
        </w:rPr>
        <w:t>’</w:t>
      </w:r>
      <w:r>
        <w:rPr>
          <w:lang w:val="fr-FR"/>
        </w:rPr>
        <w:t>invoquer les dispositions en matière d</w:t>
      </w:r>
      <w:r w:rsidR="0065181A">
        <w:rPr>
          <w:lang w:val="fr-FR"/>
        </w:rPr>
        <w:t>’</w:t>
      </w:r>
      <w:r>
        <w:rPr>
          <w:lang w:val="fr-FR"/>
        </w:rPr>
        <w:t>infraction « continuée » devant les juges du fond. Ceci serait dû aux choix opérés par le parquet dans la phase des investigations préliminaires.</w:t>
      </w:r>
    </w:p>
    <w:p w:rsidR="003242D3" w:rsidRDefault="003242D3" w:rsidP="003242D3">
      <w:pPr>
        <w:pStyle w:val="ECHRPara"/>
        <w:rPr>
          <w:lang w:val="fr-FR"/>
        </w:rPr>
      </w:pPr>
      <w:r>
        <w:rPr>
          <w:lang w:val="fr-FR"/>
        </w:rPr>
        <w:t>51.  </w:t>
      </w:r>
      <w:r w:rsidRPr="00BC15DD">
        <w:rPr>
          <w:lang w:val="fr-FR"/>
        </w:rPr>
        <w:t>La Cour rappelle que si l</w:t>
      </w:r>
      <w:r w:rsidR="0065181A">
        <w:rPr>
          <w:lang w:val="fr-FR"/>
        </w:rPr>
        <w:t>’</w:t>
      </w:r>
      <w:r w:rsidRPr="00BC15DD">
        <w:rPr>
          <w:lang w:val="fr-FR"/>
        </w:rPr>
        <w:t>article 6 a pour finalité principale, au pénal, d</w:t>
      </w:r>
      <w:r w:rsidR="0065181A">
        <w:rPr>
          <w:lang w:val="fr-FR"/>
        </w:rPr>
        <w:t>’</w:t>
      </w:r>
      <w:r w:rsidRPr="00BC15DD">
        <w:rPr>
          <w:lang w:val="fr-FR"/>
        </w:rPr>
        <w:t>assurer un procès équitable devant un « tribunal » compétent pour décider du « bien-fondé de l</w:t>
      </w:r>
      <w:r w:rsidR="0065181A">
        <w:rPr>
          <w:lang w:val="fr-FR"/>
        </w:rPr>
        <w:t>’</w:t>
      </w:r>
      <w:r w:rsidRPr="00BC15DD">
        <w:rPr>
          <w:lang w:val="fr-FR"/>
        </w:rPr>
        <w:t>accusation », il n</w:t>
      </w:r>
      <w:r w:rsidR="0065181A">
        <w:rPr>
          <w:lang w:val="fr-FR"/>
        </w:rPr>
        <w:t>’</w:t>
      </w:r>
      <w:r w:rsidRPr="00BC15DD">
        <w:rPr>
          <w:lang w:val="fr-FR"/>
        </w:rPr>
        <w:t>en résulte pas qu</w:t>
      </w:r>
      <w:r w:rsidR="0065181A">
        <w:rPr>
          <w:lang w:val="fr-FR"/>
        </w:rPr>
        <w:t>’</w:t>
      </w:r>
      <w:r w:rsidRPr="00BC15DD">
        <w:rPr>
          <w:lang w:val="fr-FR"/>
        </w:rPr>
        <w:t>il se désintéresse des phases qui se déroulent avant la procédure de jugement. Ainsi, l</w:t>
      </w:r>
      <w:r w:rsidR="0065181A">
        <w:rPr>
          <w:lang w:val="fr-FR"/>
        </w:rPr>
        <w:t>’</w:t>
      </w:r>
      <w:r w:rsidRPr="00BC15DD">
        <w:rPr>
          <w:lang w:val="fr-FR"/>
        </w:rPr>
        <w:t>article</w:t>
      </w:r>
      <w:r>
        <w:rPr>
          <w:lang w:val="fr-FR"/>
        </w:rPr>
        <w:t> </w:t>
      </w:r>
      <w:r w:rsidRPr="00BC15DD">
        <w:rPr>
          <w:lang w:val="fr-FR"/>
        </w:rPr>
        <w:t>6 – spécialement son paragraphe 3 – peut jouer un rôle avant la saisine du juge du fond si, et dans la mesure où, son inobservation initiale risque de compromettre gravement l</w:t>
      </w:r>
      <w:r w:rsidR="0065181A">
        <w:rPr>
          <w:lang w:val="fr-FR"/>
        </w:rPr>
        <w:t>’</w:t>
      </w:r>
      <w:r w:rsidRPr="00BC15DD">
        <w:rPr>
          <w:lang w:val="fr-FR"/>
        </w:rPr>
        <w:t>équité du procès (</w:t>
      </w:r>
      <w:r w:rsidRPr="00BC15DD">
        <w:rPr>
          <w:i/>
          <w:lang w:val="fr-FR"/>
        </w:rPr>
        <w:t>Imbrioscia c. Suisse</w:t>
      </w:r>
      <w:r w:rsidRPr="00BC15DD">
        <w:rPr>
          <w:lang w:val="fr-FR"/>
        </w:rPr>
        <w:t>, 24</w:t>
      </w:r>
      <w:r>
        <w:rPr>
          <w:lang w:val="fr-FR"/>
        </w:rPr>
        <w:t> </w:t>
      </w:r>
      <w:r w:rsidRPr="00BC15DD">
        <w:rPr>
          <w:lang w:val="fr-FR"/>
        </w:rPr>
        <w:t xml:space="preserve">novembre 1993, </w:t>
      </w:r>
      <w:r>
        <w:rPr>
          <w:lang w:val="fr-FR"/>
        </w:rPr>
        <w:t xml:space="preserve">§ 36, </w:t>
      </w:r>
      <w:r w:rsidRPr="00BC15DD">
        <w:rPr>
          <w:lang w:val="fr-FR"/>
        </w:rPr>
        <w:t>série A n</w:t>
      </w:r>
      <w:r w:rsidRPr="003242D3">
        <w:rPr>
          <w:vertAlign w:val="superscript"/>
          <w:lang w:val="fr-FR"/>
        </w:rPr>
        <w:t>o</w:t>
      </w:r>
      <w:r w:rsidRPr="00BC15DD">
        <w:rPr>
          <w:lang w:val="fr-FR"/>
        </w:rPr>
        <w:t xml:space="preserve"> 27, et </w:t>
      </w:r>
      <w:r w:rsidRPr="00BC15DD">
        <w:rPr>
          <w:i/>
          <w:lang w:val="fr-FR"/>
        </w:rPr>
        <w:t>Salduz c. Turquie</w:t>
      </w:r>
      <w:r>
        <w:rPr>
          <w:lang w:val="fr-FR"/>
        </w:rPr>
        <w:t xml:space="preserve"> [GC], n</w:t>
      </w:r>
      <w:r w:rsidRPr="003242D3">
        <w:rPr>
          <w:vertAlign w:val="superscript"/>
          <w:lang w:val="fr-FR"/>
        </w:rPr>
        <w:t>o</w:t>
      </w:r>
      <w:r>
        <w:rPr>
          <w:lang w:val="fr-FR"/>
        </w:rPr>
        <w:t> 36391/02, § 50, CEDH 2008).</w:t>
      </w:r>
    </w:p>
    <w:p w:rsidR="003242D3" w:rsidRDefault="003242D3" w:rsidP="003242D3">
      <w:pPr>
        <w:pStyle w:val="ECHRPara"/>
        <w:rPr>
          <w:lang w:val="fr-FR"/>
        </w:rPr>
      </w:pPr>
      <w:r>
        <w:rPr>
          <w:lang w:val="fr-FR"/>
        </w:rPr>
        <w:t>52.  En l</w:t>
      </w:r>
      <w:r w:rsidR="0065181A">
        <w:rPr>
          <w:lang w:val="fr-FR"/>
        </w:rPr>
        <w:t>’</w:t>
      </w:r>
      <w:r>
        <w:rPr>
          <w:lang w:val="fr-FR"/>
        </w:rPr>
        <w:t>espèce, la Cour ne voit pas en quoi le choix du parquet de poursuivre séparément les différents épisodes de vol à main armée dont le requérant était soupçonné a pu porter préjudice aux droits de la défense et compromettre l</w:t>
      </w:r>
      <w:r w:rsidR="0065181A">
        <w:rPr>
          <w:lang w:val="fr-FR"/>
        </w:rPr>
        <w:t>’</w:t>
      </w:r>
      <w:r>
        <w:rPr>
          <w:lang w:val="fr-FR"/>
        </w:rPr>
        <w:t>équité globale de la procédure. Par ailleurs, elle vient de conclure que l</w:t>
      </w:r>
      <w:r w:rsidR="0065181A">
        <w:rPr>
          <w:lang w:val="fr-FR"/>
        </w:rPr>
        <w:t>’</w:t>
      </w:r>
      <w:r>
        <w:rPr>
          <w:lang w:val="fr-FR"/>
        </w:rPr>
        <w:t>intéressé n</w:t>
      </w:r>
      <w:r w:rsidR="0065181A">
        <w:rPr>
          <w:lang w:val="fr-FR"/>
        </w:rPr>
        <w:t>’</w:t>
      </w:r>
      <w:r>
        <w:rPr>
          <w:lang w:val="fr-FR"/>
        </w:rPr>
        <w:t>a pas été privé des avantages se rattachant à la procédure abrégée et qu</w:t>
      </w:r>
      <w:r w:rsidR="0065181A">
        <w:rPr>
          <w:lang w:val="fr-FR"/>
        </w:rPr>
        <w:t>’</w:t>
      </w:r>
      <w:r>
        <w:rPr>
          <w:lang w:val="fr-FR"/>
        </w:rPr>
        <w:t>il a eu une opportunité suffisante de faire interroger son accusateur principal, X (paragraphes 40 et 43 ci-dessus). Il convient également d</w:t>
      </w:r>
      <w:r w:rsidR="0065181A">
        <w:rPr>
          <w:lang w:val="fr-FR"/>
        </w:rPr>
        <w:t>’</w:t>
      </w:r>
      <w:r>
        <w:rPr>
          <w:lang w:val="fr-FR"/>
        </w:rPr>
        <w:t>observer que le requérant a été accusé d</w:t>
      </w:r>
      <w:r w:rsidR="0065181A">
        <w:rPr>
          <w:lang w:val="fr-FR"/>
        </w:rPr>
        <w:t>’</w:t>
      </w:r>
      <w:r>
        <w:rPr>
          <w:lang w:val="fr-FR"/>
        </w:rPr>
        <w:t>infractions commises à des moments et dans des lieux différents. La seule circonstance qu</w:t>
      </w:r>
      <w:r w:rsidR="0065181A">
        <w:rPr>
          <w:lang w:val="fr-FR"/>
        </w:rPr>
        <w:t>’</w:t>
      </w:r>
      <w:r>
        <w:rPr>
          <w:lang w:val="fr-FR"/>
        </w:rPr>
        <w:t>il s</w:t>
      </w:r>
      <w:r w:rsidR="0065181A">
        <w:rPr>
          <w:lang w:val="fr-FR"/>
        </w:rPr>
        <w:t>’</w:t>
      </w:r>
      <w:r>
        <w:rPr>
          <w:lang w:val="fr-FR"/>
        </w:rPr>
        <w:t>agissait d</w:t>
      </w:r>
      <w:r w:rsidR="0065181A">
        <w:rPr>
          <w:lang w:val="fr-FR"/>
        </w:rPr>
        <w:t>’</w:t>
      </w:r>
      <w:r>
        <w:rPr>
          <w:lang w:val="fr-FR"/>
        </w:rPr>
        <w:t>infractions du même type n</w:t>
      </w:r>
      <w:r w:rsidR="0065181A">
        <w:rPr>
          <w:lang w:val="fr-FR"/>
        </w:rPr>
        <w:t>’</w:t>
      </w:r>
      <w:r>
        <w:rPr>
          <w:lang w:val="fr-FR"/>
        </w:rPr>
        <w:t xml:space="preserve">implique pas que la Cour pourrait </w:t>
      </w:r>
      <w:r>
        <w:rPr>
          <w:lang w:val="fr-FR"/>
        </w:rPr>
        <w:lastRenderedPageBreak/>
        <w:t>censurer d</w:t>
      </w:r>
      <w:r w:rsidR="0065181A">
        <w:rPr>
          <w:lang w:val="fr-FR"/>
        </w:rPr>
        <w:t>’</w:t>
      </w:r>
      <w:r>
        <w:rPr>
          <w:lang w:val="fr-FR"/>
        </w:rPr>
        <w:t>une quelque manière que ce soit le choix du parquet de poursuivre séparément ces faits.</w:t>
      </w:r>
    </w:p>
    <w:p w:rsidR="003242D3" w:rsidRDefault="003242D3" w:rsidP="003242D3">
      <w:pPr>
        <w:pStyle w:val="ECHRPara"/>
        <w:rPr>
          <w:lang w:val="fr-FR"/>
        </w:rPr>
      </w:pPr>
      <w:r>
        <w:rPr>
          <w:lang w:val="fr-FR"/>
        </w:rPr>
        <w:t>53.  </w:t>
      </w:r>
      <w:r>
        <w:rPr>
          <w:rFonts w:cstheme="minorHAnsi"/>
          <w:lang w:val="fr-FR"/>
        </w:rPr>
        <w:t>À</w:t>
      </w:r>
      <w:r>
        <w:rPr>
          <w:lang w:val="fr-FR"/>
        </w:rPr>
        <w:t xml:space="preserve"> titre surabondant, la Cour relève que l</w:t>
      </w:r>
      <w:r w:rsidR="0065181A">
        <w:rPr>
          <w:lang w:val="fr-FR"/>
        </w:rPr>
        <w:t>’</w:t>
      </w:r>
      <w:r>
        <w:rPr>
          <w:lang w:val="fr-FR"/>
        </w:rPr>
        <w:t>intéressé lui-même admet qu</w:t>
      </w:r>
      <w:r w:rsidR="0065181A">
        <w:rPr>
          <w:lang w:val="fr-FR"/>
        </w:rPr>
        <w:t>’</w:t>
      </w:r>
      <w:r>
        <w:rPr>
          <w:lang w:val="fr-FR"/>
        </w:rPr>
        <w:t>il pourra demander l</w:t>
      </w:r>
      <w:r w:rsidR="0065181A">
        <w:rPr>
          <w:lang w:val="fr-FR"/>
        </w:rPr>
        <w:t>’</w:t>
      </w:r>
      <w:r>
        <w:rPr>
          <w:lang w:val="fr-FR"/>
        </w:rPr>
        <w:t>application de la sanction pour l</w:t>
      </w:r>
      <w:r w:rsidR="0065181A">
        <w:rPr>
          <w:lang w:val="fr-FR"/>
        </w:rPr>
        <w:t>’</w:t>
      </w:r>
      <w:r>
        <w:rPr>
          <w:lang w:val="fr-FR"/>
        </w:rPr>
        <w:t>infraction « continuée » dans la phase de l</w:t>
      </w:r>
      <w:r w:rsidR="0065181A">
        <w:rPr>
          <w:lang w:val="fr-FR"/>
        </w:rPr>
        <w:t>’</w:t>
      </w:r>
      <w:r>
        <w:rPr>
          <w:lang w:val="fr-FR"/>
        </w:rPr>
        <w:t>exécution des peines qui lui ont été infligées. L</w:t>
      </w:r>
      <w:r w:rsidR="0065181A">
        <w:rPr>
          <w:lang w:val="fr-FR"/>
        </w:rPr>
        <w:t>’</w:t>
      </w:r>
      <w:r>
        <w:rPr>
          <w:lang w:val="fr-FR"/>
        </w:rPr>
        <w:t>allégation de l</w:t>
      </w:r>
      <w:r w:rsidR="0065181A">
        <w:rPr>
          <w:lang w:val="fr-FR"/>
        </w:rPr>
        <w:t>’</w:t>
      </w:r>
      <w:r>
        <w:rPr>
          <w:lang w:val="fr-FR"/>
        </w:rPr>
        <w:t>intéressé, selon laquelle le traitement qu</w:t>
      </w:r>
      <w:r w:rsidR="0065181A">
        <w:rPr>
          <w:lang w:val="fr-FR"/>
        </w:rPr>
        <w:t>’</w:t>
      </w:r>
      <w:r>
        <w:rPr>
          <w:lang w:val="fr-FR"/>
        </w:rPr>
        <w:t>il pourrait obtenir au cours de cette dernière phase serait moins favorable (paragraphe 48 ci-dessus), relève de la pure spéculation.</w:t>
      </w:r>
    </w:p>
    <w:p w:rsidR="003242D3" w:rsidRPr="005570E3" w:rsidRDefault="003242D3" w:rsidP="003242D3">
      <w:pPr>
        <w:pStyle w:val="ECHRPara"/>
        <w:rPr>
          <w:lang w:val="fr-FR"/>
        </w:rPr>
      </w:pPr>
      <w:r>
        <w:rPr>
          <w:lang w:val="fr-FR"/>
        </w:rPr>
        <w:t>54.  </w:t>
      </w:r>
      <w:r w:rsidRPr="005570E3">
        <w:rPr>
          <w:snapToGrid w:val="0"/>
          <w:lang w:val="fr-FR"/>
        </w:rPr>
        <w:t>Il s</w:t>
      </w:r>
      <w:r w:rsidR="0065181A">
        <w:rPr>
          <w:snapToGrid w:val="0"/>
          <w:lang w:val="fr-FR"/>
        </w:rPr>
        <w:t>’</w:t>
      </w:r>
      <w:r w:rsidRPr="005570E3">
        <w:rPr>
          <w:snapToGrid w:val="0"/>
          <w:lang w:val="fr-FR"/>
        </w:rPr>
        <w:t>ensuit que ce grief est manifestement mal fondé et doit être rejeté en application de l</w:t>
      </w:r>
      <w:r w:rsidR="0065181A">
        <w:rPr>
          <w:snapToGrid w:val="0"/>
          <w:lang w:val="fr-FR"/>
        </w:rPr>
        <w:t>’</w:t>
      </w:r>
      <w:r w:rsidRPr="005570E3">
        <w:rPr>
          <w:snapToGrid w:val="0"/>
          <w:lang w:val="fr-FR"/>
        </w:rPr>
        <w:t>article 35 §§ 3 </w:t>
      </w:r>
      <w:r w:rsidRPr="005570E3">
        <w:rPr>
          <w:lang w:val="fr-FR"/>
        </w:rPr>
        <w:t xml:space="preserve">a) </w:t>
      </w:r>
      <w:r w:rsidRPr="005570E3">
        <w:rPr>
          <w:snapToGrid w:val="0"/>
          <w:lang w:val="fr-FR"/>
        </w:rPr>
        <w:t>et 4 de la Convention.</w:t>
      </w:r>
    </w:p>
    <w:p w:rsidR="003242D3" w:rsidRDefault="003242D3" w:rsidP="003242D3">
      <w:pPr>
        <w:pStyle w:val="ECHRHeading3"/>
        <w:rPr>
          <w:lang w:val="fr-FR"/>
        </w:rPr>
      </w:pPr>
      <w:r>
        <w:rPr>
          <w:lang w:val="fr-FR"/>
        </w:rPr>
        <w:t>3.  Conclusion</w:t>
      </w:r>
    </w:p>
    <w:p w:rsidR="003242D3" w:rsidRDefault="003242D3" w:rsidP="003242D3">
      <w:pPr>
        <w:pStyle w:val="JuParaSub"/>
        <w:ind w:left="0"/>
        <w:rPr>
          <w:lang w:val="fr-FR"/>
        </w:rPr>
      </w:pPr>
      <w:r>
        <w:rPr>
          <w:lang w:val="fr-FR"/>
        </w:rPr>
        <w:t>55.  La Cour a examiné les différentes allégations du requérant portant sur un manque allégué d</w:t>
      </w:r>
      <w:r w:rsidR="0065181A">
        <w:rPr>
          <w:lang w:val="fr-FR"/>
        </w:rPr>
        <w:t>’</w:t>
      </w:r>
      <w:r>
        <w:rPr>
          <w:lang w:val="fr-FR"/>
        </w:rPr>
        <w:t>équité de son procès et sur une prétendue violation du principe de la présomption d</w:t>
      </w:r>
      <w:r w:rsidR="0065181A">
        <w:rPr>
          <w:lang w:val="fr-FR"/>
        </w:rPr>
        <w:t>’</w:t>
      </w:r>
      <w:r>
        <w:rPr>
          <w:lang w:val="fr-FR"/>
        </w:rPr>
        <w:t>innocence, sans déceler aucune apparence de violation des droits garantis par l</w:t>
      </w:r>
      <w:r w:rsidR="0065181A">
        <w:rPr>
          <w:lang w:val="fr-FR"/>
        </w:rPr>
        <w:t>’</w:t>
      </w:r>
      <w:r>
        <w:rPr>
          <w:lang w:val="fr-FR"/>
        </w:rPr>
        <w:t>article 6 de la Convention. Elle ne peut donc que parvenir à la conclusion que, considérée dans son ensemble, la procédure pénale en cause a été équitable.</w:t>
      </w:r>
    </w:p>
    <w:p w:rsidR="003242D3" w:rsidRDefault="003242D3" w:rsidP="003242D3">
      <w:pPr>
        <w:pStyle w:val="ECHRPara"/>
        <w:rPr>
          <w:lang w:val="fr-FR"/>
        </w:rPr>
      </w:pPr>
      <w:r>
        <w:rPr>
          <w:snapToGrid w:val="0"/>
          <w:lang w:val="fr-FR"/>
        </w:rPr>
        <w:t>56.  </w:t>
      </w:r>
      <w:r w:rsidRPr="00717563">
        <w:rPr>
          <w:snapToGrid w:val="0"/>
          <w:lang w:val="fr-FR"/>
        </w:rPr>
        <w:t>Il s</w:t>
      </w:r>
      <w:r w:rsidR="0065181A">
        <w:rPr>
          <w:snapToGrid w:val="0"/>
          <w:lang w:val="fr-FR"/>
        </w:rPr>
        <w:t>’</w:t>
      </w:r>
      <w:r w:rsidRPr="00717563">
        <w:rPr>
          <w:snapToGrid w:val="0"/>
          <w:lang w:val="fr-FR"/>
        </w:rPr>
        <w:t xml:space="preserve">ensuit que </w:t>
      </w:r>
      <w:r>
        <w:rPr>
          <w:snapToGrid w:val="0"/>
          <w:lang w:val="fr-FR"/>
        </w:rPr>
        <w:t>tous les</w:t>
      </w:r>
      <w:r w:rsidRPr="00717563">
        <w:rPr>
          <w:snapToGrid w:val="0"/>
          <w:lang w:val="fr-FR"/>
        </w:rPr>
        <w:t xml:space="preserve"> grief</w:t>
      </w:r>
      <w:r>
        <w:rPr>
          <w:snapToGrid w:val="0"/>
          <w:lang w:val="fr-FR"/>
        </w:rPr>
        <w:t>s tirés de l</w:t>
      </w:r>
      <w:r w:rsidR="0065181A">
        <w:rPr>
          <w:snapToGrid w:val="0"/>
          <w:lang w:val="fr-FR"/>
        </w:rPr>
        <w:t>’</w:t>
      </w:r>
      <w:r>
        <w:rPr>
          <w:snapToGrid w:val="0"/>
          <w:lang w:val="fr-FR"/>
        </w:rPr>
        <w:t>article 6 de la Convention</w:t>
      </w:r>
      <w:r w:rsidRPr="00717563">
        <w:rPr>
          <w:snapToGrid w:val="0"/>
          <w:lang w:val="fr-FR"/>
        </w:rPr>
        <w:t xml:space="preserve"> </w:t>
      </w:r>
      <w:r>
        <w:rPr>
          <w:snapToGrid w:val="0"/>
          <w:lang w:val="fr-FR"/>
        </w:rPr>
        <w:t>sont</w:t>
      </w:r>
      <w:r w:rsidRPr="00717563">
        <w:rPr>
          <w:snapToGrid w:val="0"/>
          <w:lang w:val="fr-FR"/>
        </w:rPr>
        <w:t xml:space="preserve"> manifestement mal fondé</w:t>
      </w:r>
      <w:r>
        <w:rPr>
          <w:snapToGrid w:val="0"/>
          <w:lang w:val="fr-FR"/>
        </w:rPr>
        <w:t>s</w:t>
      </w:r>
      <w:r w:rsidRPr="00717563">
        <w:rPr>
          <w:snapToGrid w:val="0"/>
          <w:lang w:val="fr-FR"/>
        </w:rPr>
        <w:t xml:space="preserve"> et </w:t>
      </w:r>
      <w:r>
        <w:rPr>
          <w:snapToGrid w:val="0"/>
          <w:lang w:val="fr-FR"/>
        </w:rPr>
        <w:t>qu</w:t>
      </w:r>
      <w:r w:rsidR="0065181A">
        <w:rPr>
          <w:snapToGrid w:val="0"/>
          <w:lang w:val="fr-FR"/>
        </w:rPr>
        <w:t>’</w:t>
      </w:r>
      <w:r>
        <w:rPr>
          <w:snapToGrid w:val="0"/>
          <w:lang w:val="fr-FR"/>
        </w:rPr>
        <w:t xml:space="preserve">ils </w:t>
      </w:r>
      <w:r w:rsidRPr="00717563">
        <w:rPr>
          <w:snapToGrid w:val="0"/>
          <w:lang w:val="fr-FR"/>
        </w:rPr>
        <w:t>doi</w:t>
      </w:r>
      <w:r>
        <w:rPr>
          <w:snapToGrid w:val="0"/>
          <w:lang w:val="fr-FR"/>
        </w:rPr>
        <w:t>vent</w:t>
      </w:r>
      <w:r w:rsidRPr="00717563">
        <w:rPr>
          <w:snapToGrid w:val="0"/>
          <w:lang w:val="fr-FR"/>
        </w:rPr>
        <w:t xml:space="preserve"> être rejeté</w:t>
      </w:r>
      <w:r>
        <w:rPr>
          <w:snapToGrid w:val="0"/>
          <w:lang w:val="fr-FR"/>
        </w:rPr>
        <w:t>s,</w:t>
      </w:r>
      <w:r w:rsidRPr="00717563">
        <w:rPr>
          <w:snapToGrid w:val="0"/>
          <w:lang w:val="fr-FR"/>
        </w:rPr>
        <w:t xml:space="preserve"> en application de l</w:t>
      </w:r>
      <w:r w:rsidR="0065181A">
        <w:rPr>
          <w:snapToGrid w:val="0"/>
          <w:lang w:val="fr-FR"/>
        </w:rPr>
        <w:t>’</w:t>
      </w:r>
      <w:r w:rsidRPr="00717563">
        <w:rPr>
          <w:snapToGrid w:val="0"/>
          <w:lang w:val="fr-FR"/>
        </w:rPr>
        <w:t>article</w:t>
      </w:r>
      <w:r>
        <w:rPr>
          <w:snapToGrid w:val="0"/>
          <w:lang w:val="fr-FR"/>
        </w:rPr>
        <w:t> </w:t>
      </w:r>
      <w:r w:rsidRPr="00717563">
        <w:rPr>
          <w:snapToGrid w:val="0"/>
          <w:lang w:val="fr-FR"/>
        </w:rPr>
        <w:t>35 §§ 3 </w:t>
      </w:r>
      <w:r w:rsidRPr="00717563">
        <w:rPr>
          <w:lang w:val="fr-FR"/>
        </w:rPr>
        <w:t xml:space="preserve">a) </w:t>
      </w:r>
      <w:r w:rsidRPr="00717563">
        <w:rPr>
          <w:snapToGrid w:val="0"/>
          <w:lang w:val="fr-FR"/>
        </w:rPr>
        <w:t>et 4 de la Convention.</w:t>
      </w:r>
    </w:p>
    <w:p w:rsidR="003242D3" w:rsidRDefault="003242D3" w:rsidP="003242D3">
      <w:pPr>
        <w:pStyle w:val="ECHRHeading2"/>
        <w:rPr>
          <w:lang w:val="fr-FR"/>
        </w:rPr>
      </w:pPr>
      <w:r>
        <w:rPr>
          <w:lang w:val="fr-FR"/>
        </w:rPr>
        <w:t>B.  Grief tiré de l</w:t>
      </w:r>
      <w:r w:rsidR="0065181A">
        <w:rPr>
          <w:lang w:val="fr-FR"/>
        </w:rPr>
        <w:t>’</w:t>
      </w:r>
      <w:r>
        <w:rPr>
          <w:lang w:val="fr-FR"/>
        </w:rPr>
        <w:t>article 13 de la Convention</w:t>
      </w:r>
    </w:p>
    <w:p w:rsidR="00B654CA" w:rsidRDefault="003242D3" w:rsidP="003242D3">
      <w:pPr>
        <w:pStyle w:val="ECHRPara"/>
        <w:rPr>
          <w:lang w:val="fr-FR"/>
        </w:rPr>
      </w:pPr>
      <w:r>
        <w:rPr>
          <w:lang w:val="fr-FR"/>
        </w:rPr>
        <w:t>57.  Le requérant considère qu</w:t>
      </w:r>
      <w:r w:rsidR="0065181A">
        <w:rPr>
          <w:lang w:val="fr-FR"/>
        </w:rPr>
        <w:t>’</w:t>
      </w:r>
      <w:r>
        <w:rPr>
          <w:lang w:val="fr-FR"/>
        </w:rPr>
        <w:t>il n</w:t>
      </w:r>
      <w:r w:rsidR="0065181A">
        <w:rPr>
          <w:lang w:val="fr-FR"/>
        </w:rPr>
        <w:t>’</w:t>
      </w:r>
      <w:r>
        <w:rPr>
          <w:lang w:val="fr-FR"/>
        </w:rPr>
        <w:t>a pas disposé d</w:t>
      </w:r>
      <w:r w:rsidR="0065181A">
        <w:rPr>
          <w:lang w:val="fr-FR"/>
        </w:rPr>
        <w:t>’</w:t>
      </w:r>
      <w:r>
        <w:rPr>
          <w:lang w:val="fr-FR"/>
        </w:rPr>
        <w:t>un recours effectif pour faire valoir ses griefs tirés de l</w:t>
      </w:r>
      <w:r w:rsidR="0065181A">
        <w:rPr>
          <w:lang w:val="fr-FR"/>
        </w:rPr>
        <w:t>’</w:t>
      </w:r>
      <w:r>
        <w:rPr>
          <w:lang w:val="fr-FR"/>
        </w:rPr>
        <w:t>article 6. Il considère que son appel et son pourvoi en cassation ont été rejetés en conséquence de la présence illicite, dans le dossier du juge, de l</w:t>
      </w:r>
      <w:r w:rsidR="0065181A">
        <w:rPr>
          <w:lang w:val="fr-FR"/>
        </w:rPr>
        <w:t>’</w:t>
      </w:r>
      <w:r>
        <w:rPr>
          <w:lang w:val="fr-FR"/>
        </w:rPr>
        <w:t>interrogatoire de X, qui aurait conditionné les juridictions concernées.</w:t>
      </w:r>
    </w:p>
    <w:p w:rsidR="003242D3" w:rsidRDefault="003242D3" w:rsidP="003242D3">
      <w:pPr>
        <w:pStyle w:val="ECHRPara"/>
        <w:rPr>
          <w:lang w:val="fr-FR"/>
        </w:rPr>
      </w:pPr>
      <w:r>
        <w:rPr>
          <w:lang w:val="fr-FR"/>
        </w:rPr>
        <w:t>L</w:t>
      </w:r>
      <w:r w:rsidR="0065181A">
        <w:rPr>
          <w:lang w:val="fr-FR"/>
        </w:rPr>
        <w:t>’</w:t>
      </w:r>
      <w:r>
        <w:rPr>
          <w:lang w:val="fr-FR"/>
        </w:rPr>
        <w:t>intéressé invoque l</w:t>
      </w:r>
      <w:r w:rsidR="0065181A">
        <w:rPr>
          <w:lang w:val="fr-FR"/>
        </w:rPr>
        <w:t>’</w:t>
      </w:r>
      <w:r>
        <w:rPr>
          <w:lang w:val="fr-FR"/>
        </w:rPr>
        <w:t>article 13 de la Convention, ainsi libellé :</w:t>
      </w:r>
    </w:p>
    <w:p w:rsidR="003242D3" w:rsidRDefault="003242D3" w:rsidP="003242D3">
      <w:pPr>
        <w:pStyle w:val="ECHRParaQuote"/>
        <w:rPr>
          <w:lang w:val="fr-FR"/>
        </w:rPr>
      </w:pPr>
      <w:r w:rsidRPr="00622416">
        <w:rPr>
          <w:lang w:val="fr-FR"/>
        </w:rPr>
        <w:t>« Toute personne dont les droits et libertés reconnus dans la (...) Convention ont été violés, a droit à l</w:t>
      </w:r>
      <w:r w:rsidR="0065181A">
        <w:rPr>
          <w:lang w:val="fr-FR"/>
        </w:rPr>
        <w:t>’</w:t>
      </w:r>
      <w:r w:rsidRPr="00622416">
        <w:rPr>
          <w:lang w:val="fr-FR"/>
        </w:rPr>
        <w:t>octroi d</w:t>
      </w:r>
      <w:r w:rsidR="0065181A">
        <w:rPr>
          <w:lang w:val="fr-FR"/>
        </w:rPr>
        <w:t>’</w:t>
      </w:r>
      <w:r w:rsidRPr="00622416">
        <w:rPr>
          <w:lang w:val="fr-FR"/>
        </w:rPr>
        <w:t>un recours effectif devant une instance nationale, alors même que la violation aurait été commise par des personnes agissant dans l</w:t>
      </w:r>
      <w:r w:rsidR="0065181A">
        <w:rPr>
          <w:lang w:val="fr-FR"/>
        </w:rPr>
        <w:t>’</w:t>
      </w:r>
      <w:r w:rsidRPr="00622416">
        <w:rPr>
          <w:lang w:val="fr-FR"/>
        </w:rPr>
        <w:t>exercice de leurs fonctions officielles. »</w:t>
      </w:r>
    </w:p>
    <w:p w:rsidR="00B654CA" w:rsidRDefault="003242D3" w:rsidP="003242D3">
      <w:pPr>
        <w:pStyle w:val="ECHRPara"/>
        <w:rPr>
          <w:lang w:val="fr-FR"/>
        </w:rPr>
      </w:pPr>
      <w:r>
        <w:rPr>
          <w:lang w:val="fr-FR"/>
        </w:rPr>
        <w:t>58.  La Cour observe que le requérant a eu la possibilité, dont il a fait usage, d</w:t>
      </w:r>
      <w:r w:rsidR="0065181A">
        <w:rPr>
          <w:lang w:val="fr-FR"/>
        </w:rPr>
        <w:t>’</w:t>
      </w:r>
      <w:r>
        <w:rPr>
          <w:lang w:val="fr-FR"/>
        </w:rPr>
        <w:t>interjeter appel et de se pou</w:t>
      </w:r>
      <w:r w:rsidR="00EE5259">
        <w:rPr>
          <w:lang w:val="fr-FR"/>
        </w:rPr>
        <w:t>r</w:t>
      </w:r>
      <w:r>
        <w:rPr>
          <w:lang w:val="fr-FR"/>
        </w:rPr>
        <w:t>voir en cassation contre sa condamnation par le GIP de Pavie. Il s</w:t>
      </w:r>
      <w:r w:rsidR="0065181A">
        <w:rPr>
          <w:lang w:val="fr-FR"/>
        </w:rPr>
        <w:t>’</w:t>
      </w:r>
      <w:r>
        <w:rPr>
          <w:lang w:val="fr-FR"/>
        </w:rPr>
        <w:t>est en outre pourvu en cassation contre l</w:t>
      </w:r>
      <w:r w:rsidR="0065181A">
        <w:rPr>
          <w:lang w:val="fr-FR"/>
        </w:rPr>
        <w:t>’</w:t>
      </w:r>
      <w:r>
        <w:rPr>
          <w:lang w:val="fr-FR"/>
        </w:rPr>
        <w:t>ordonnance du GIP du 16 juillet 2010, qui avait rejeté son opposition à l</w:t>
      </w:r>
      <w:r w:rsidR="0065181A">
        <w:rPr>
          <w:lang w:val="fr-FR"/>
        </w:rPr>
        <w:t>’</w:t>
      </w:r>
      <w:r>
        <w:rPr>
          <w:lang w:val="fr-FR"/>
        </w:rPr>
        <w:t>utilisation de l</w:t>
      </w:r>
      <w:r w:rsidR="0065181A">
        <w:rPr>
          <w:lang w:val="fr-FR"/>
        </w:rPr>
        <w:t>’</w:t>
      </w:r>
      <w:r>
        <w:rPr>
          <w:lang w:val="fr-FR"/>
        </w:rPr>
        <w:t>interrogatoire de X du 24 juin 2010 (paragraphes 9-11 ci-dessus). Dans le cadre de ces recours, il a pu soulever toutes les exceptions qu</w:t>
      </w:r>
      <w:r w:rsidR="0065181A">
        <w:rPr>
          <w:lang w:val="fr-FR"/>
        </w:rPr>
        <w:t>’</w:t>
      </w:r>
      <w:r>
        <w:rPr>
          <w:lang w:val="fr-FR"/>
        </w:rPr>
        <w:t>il a estimées utiles quant à la présence, selon lui illicite, de l</w:t>
      </w:r>
      <w:r w:rsidR="0065181A">
        <w:rPr>
          <w:lang w:val="fr-FR"/>
        </w:rPr>
        <w:t>’</w:t>
      </w:r>
      <w:r>
        <w:rPr>
          <w:lang w:val="fr-FR"/>
        </w:rPr>
        <w:t>interrogatoire incriminé dans le dossier du juge. Il est vrai que la cour d</w:t>
      </w:r>
      <w:r w:rsidR="0065181A">
        <w:rPr>
          <w:lang w:val="fr-FR"/>
        </w:rPr>
        <w:t>’</w:t>
      </w:r>
      <w:r>
        <w:rPr>
          <w:lang w:val="fr-FR"/>
        </w:rPr>
        <w:t xml:space="preserve">appel et la Cour de cassation ont finalement estimé que </w:t>
      </w:r>
      <w:r>
        <w:rPr>
          <w:lang w:val="fr-FR"/>
        </w:rPr>
        <w:lastRenderedPageBreak/>
        <w:t>l</w:t>
      </w:r>
      <w:r w:rsidR="0065181A">
        <w:rPr>
          <w:lang w:val="fr-FR"/>
        </w:rPr>
        <w:t>’</w:t>
      </w:r>
      <w:r>
        <w:rPr>
          <w:lang w:val="fr-FR"/>
        </w:rPr>
        <w:t>acquisition du procès-verbal de cet interrogatoire n</w:t>
      </w:r>
      <w:r w:rsidR="0065181A">
        <w:rPr>
          <w:lang w:val="fr-FR"/>
        </w:rPr>
        <w:t>’</w:t>
      </w:r>
      <w:r>
        <w:rPr>
          <w:lang w:val="fr-FR"/>
        </w:rPr>
        <w:t xml:space="preserve">entraînait aucune nullité. Cependant, </w:t>
      </w:r>
      <w:r w:rsidRPr="00BC15DD">
        <w:rPr>
          <w:lang w:val="fr-FR"/>
        </w:rPr>
        <w:t>l</w:t>
      </w:r>
      <w:r w:rsidR="0065181A">
        <w:rPr>
          <w:lang w:val="fr-FR"/>
        </w:rPr>
        <w:t>’</w:t>
      </w:r>
      <w:r w:rsidRPr="00BC15DD">
        <w:rPr>
          <w:lang w:val="fr-FR"/>
        </w:rPr>
        <w:t>efficacité d</w:t>
      </w:r>
      <w:r w:rsidR="0065181A">
        <w:rPr>
          <w:lang w:val="fr-FR"/>
        </w:rPr>
        <w:t>’</w:t>
      </w:r>
      <w:r w:rsidRPr="00BC15DD">
        <w:rPr>
          <w:lang w:val="fr-FR"/>
        </w:rPr>
        <w:t>un recours, aux fins de l</w:t>
      </w:r>
      <w:r w:rsidR="0065181A">
        <w:rPr>
          <w:lang w:val="fr-FR"/>
        </w:rPr>
        <w:t>’</w:t>
      </w:r>
      <w:r w:rsidRPr="00BC15DD">
        <w:rPr>
          <w:lang w:val="fr-FR"/>
        </w:rPr>
        <w:t xml:space="preserve">article 13 </w:t>
      </w:r>
      <w:r>
        <w:rPr>
          <w:lang w:val="fr-FR"/>
        </w:rPr>
        <w:t>de la Convention</w:t>
      </w:r>
      <w:r w:rsidRPr="00BC15DD">
        <w:rPr>
          <w:lang w:val="fr-FR"/>
        </w:rPr>
        <w:t>, ne dépend pas de la certitude d</w:t>
      </w:r>
      <w:r w:rsidR="0065181A">
        <w:rPr>
          <w:lang w:val="fr-FR"/>
        </w:rPr>
        <w:t>’</w:t>
      </w:r>
      <w:r w:rsidRPr="00BC15DD">
        <w:rPr>
          <w:lang w:val="fr-FR"/>
        </w:rPr>
        <w:t xml:space="preserve">un résultat favorable </w:t>
      </w:r>
      <w:r>
        <w:rPr>
          <w:lang w:val="fr-FR"/>
        </w:rPr>
        <w:t>(voir, parmi beaucoup d</w:t>
      </w:r>
      <w:r w:rsidR="0065181A">
        <w:rPr>
          <w:lang w:val="fr-FR"/>
        </w:rPr>
        <w:t>’</w:t>
      </w:r>
      <w:r>
        <w:rPr>
          <w:lang w:val="fr-FR"/>
        </w:rPr>
        <w:t xml:space="preserve">autres, </w:t>
      </w:r>
      <w:r w:rsidRPr="006B1BA6">
        <w:rPr>
          <w:rStyle w:val="wordhighlighted"/>
          <w:i/>
          <w:lang w:val="fr-FR"/>
        </w:rPr>
        <w:t>Pine</w:t>
      </w:r>
      <w:r w:rsidRPr="006B1BA6">
        <w:rPr>
          <w:i/>
          <w:lang w:val="fr-FR"/>
        </w:rPr>
        <w:t xml:space="preserve"> </w:t>
      </w:r>
      <w:r w:rsidRPr="006B1BA6">
        <w:rPr>
          <w:rStyle w:val="wordhighlighted"/>
          <w:i/>
          <w:lang w:val="fr-FR"/>
        </w:rPr>
        <w:t>Valley</w:t>
      </w:r>
      <w:r w:rsidRPr="006B1BA6">
        <w:rPr>
          <w:i/>
          <w:lang w:val="fr-FR"/>
        </w:rPr>
        <w:t xml:space="preserve"> Developments Ltd et autres c. Irlande</w:t>
      </w:r>
      <w:r>
        <w:rPr>
          <w:lang w:val="fr-FR"/>
        </w:rPr>
        <w:t>, 29 novembre 1991, § 66, série A n</w:t>
      </w:r>
      <w:r w:rsidRPr="003242D3">
        <w:rPr>
          <w:vertAlign w:val="superscript"/>
          <w:lang w:val="fr-FR"/>
        </w:rPr>
        <w:t>o</w:t>
      </w:r>
      <w:r>
        <w:rPr>
          <w:lang w:val="fr-FR"/>
        </w:rPr>
        <w:t> 222).</w:t>
      </w:r>
    </w:p>
    <w:p w:rsidR="003242D3" w:rsidRPr="00E21176" w:rsidRDefault="003242D3" w:rsidP="003242D3">
      <w:pPr>
        <w:pStyle w:val="ECHRPara"/>
        <w:rPr>
          <w:lang w:val="fr-FR"/>
        </w:rPr>
      </w:pPr>
      <w:r>
        <w:rPr>
          <w:lang w:val="fr-FR"/>
        </w:rPr>
        <w:t>59.  </w:t>
      </w:r>
      <w:r w:rsidRPr="006B1BA6">
        <w:rPr>
          <w:snapToGrid w:val="0"/>
          <w:lang w:val="fr-FR"/>
        </w:rPr>
        <w:t>Il s</w:t>
      </w:r>
      <w:r w:rsidR="0065181A">
        <w:rPr>
          <w:snapToGrid w:val="0"/>
          <w:lang w:val="fr-FR"/>
        </w:rPr>
        <w:t>’</w:t>
      </w:r>
      <w:r w:rsidRPr="006B1BA6">
        <w:rPr>
          <w:snapToGrid w:val="0"/>
          <w:lang w:val="fr-FR"/>
        </w:rPr>
        <w:t>ensuit que ce grief est manifestement mal fondé et doit être rejeté en application de l</w:t>
      </w:r>
      <w:r w:rsidR="0065181A">
        <w:rPr>
          <w:snapToGrid w:val="0"/>
          <w:lang w:val="fr-FR"/>
        </w:rPr>
        <w:t>’</w:t>
      </w:r>
      <w:r w:rsidRPr="006B1BA6">
        <w:rPr>
          <w:snapToGrid w:val="0"/>
          <w:lang w:val="fr-FR"/>
        </w:rPr>
        <w:t>article 35 §§ 3 </w:t>
      </w:r>
      <w:r w:rsidRPr="006B1BA6">
        <w:rPr>
          <w:lang w:val="fr-FR"/>
        </w:rPr>
        <w:t xml:space="preserve">a) </w:t>
      </w:r>
      <w:r w:rsidRPr="006B1BA6">
        <w:rPr>
          <w:snapToGrid w:val="0"/>
          <w:lang w:val="fr-FR"/>
        </w:rPr>
        <w:t>et 4 de la Convention.</w:t>
      </w:r>
    </w:p>
    <w:p w:rsidR="003242D3" w:rsidRPr="00E21176" w:rsidRDefault="003242D3" w:rsidP="003242D3">
      <w:pPr>
        <w:pStyle w:val="DecList"/>
        <w:rPr>
          <w:lang w:val="fr-FR"/>
        </w:rPr>
      </w:pPr>
      <w:r w:rsidRPr="00E21176">
        <w:rPr>
          <w:lang w:val="fr-FR"/>
        </w:rPr>
        <w:t>Par ces motifs, la Cour, à l</w:t>
      </w:r>
      <w:r w:rsidR="0065181A">
        <w:rPr>
          <w:lang w:val="fr-FR"/>
        </w:rPr>
        <w:t>’</w:t>
      </w:r>
      <w:r w:rsidRPr="00E21176">
        <w:rPr>
          <w:lang w:val="fr-FR"/>
        </w:rPr>
        <w:t>unanimité,</w:t>
      </w:r>
    </w:p>
    <w:p w:rsidR="003242D3" w:rsidRPr="00E21176" w:rsidRDefault="003242D3" w:rsidP="003242D3">
      <w:pPr>
        <w:pStyle w:val="DecList"/>
        <w:rPr>
          <w:lang w:val="fr-FR"/>
        </w:rPr>
      </w:pPr>
      <w:r w:rsidRPr="00E21176">
        <w:rPr>
          <w:i/>
          <w:lang w:val="fr-FR"/>
        </w:rPr>
        <w:t xml:space="preserve">Déclare </w:t>
      </w:r>
      <w:r w:rsidRPr="00E21176">
        <w:rPr>
          <w:lang w:val="fr-FR"/>
        </w:rPr>
        <w:t>la requête irrecevable.</w:t>
      </w:r>
    </w:p>
    <w:p w:rsidR="006544C4" w:rsidRPr="00AD4F05" w:rsidRDefault="006544C4" w:rsidP="004047FE">
      <w:pPr>
        <w:pStyle w:val="ECHRPara"/>
        <w:rPr>
          <w:sz w:val="2"/>
          <w:szCs w:val="2"/>
          <w:lang w:val="fr-FR" w:eastAsia="en-GB"/>
        </w:rPr>
      </w:pPr>
    </w:p>
    <w:p w:rsidR="006F19B0" w:rsidRPr="00AD4F05" w:rsidRDefault="00F40988" w:rsidP="006F19B0">
      <w:pPr>
        <w:pStyle w:val="JuParaLast"/>
        <w:rPr>
          <w:lang w:val="fr-FR"/>
        </w:rPr>
      </w:pPr>
      <w:r w:rsidRPr="00AD4F05">
        <w:rPr>
          <w:szCs w:val="24"/>
          <w:lang w:val="fr-FR"/>
        </w:rPr>
        <w:t xml:space="preserve">Fait en français puis communiqué par écrit le </w:t>
      </w:r>
      <w:r w:rsidR="003242D3">
        <w:rPr>
          <w:szCs w:val="24"/>
          <w:lang w:val="fr-FR"/>
        </w:rPr>
        <w:t>14 janvier 2016</w:t>
      </w:r>
      <w:r w:rsidRPr="00AD4F05">
        <w:rPr>
          <w:lang w:val="fr-FR"/>
        </w:rPr>
        <w:t>.</w:t>
      </w:r>
    </w:p>
    <w:p w:rsidR="00CE6ED9" w:rsidRPr="00AD4F05" w:rsidRDefault="003242D3" w:rsidP="003242D3">
      <w:pPr>
        <w:pStyle w:val="JuSigned"/>
        <w:tabs>
          <w:tab w:val="clear" w:pos="6407"/>
          <w:tab w:val="center" w:pos="5670"/>
        </w:tabs>
        <w:rPr>
          <w:lang w:val="fr-FR"/>
        </w:rPr>
      </w:pPr>
      <w:r w:rsidRPr="00AD4F05">
        <w:rPr>
          <w:lang w:val="fr-FR"/>
        </w:rPr>
        <w:tab/>
      </w:r>
      <w:r>
        <w:rPr>
          <w:lang w:val="fr-FR"/>
        </w:rPr>
        <w:t>André Wampach</w:t>
      </w:r>
      <w:r w:rsidR="006544C4" w:rsidRPr="00AD4F05">
        <w:rPr>
          <w:lang w:val="fr-FR"/>
        </w:rPr>
        <w:tab/>
      </w:r>
      <w:r>
        <w:rPr>
          <w:lang w:val="fr-FR"/>
        </w:rPr>
        <w:t>Mirjana</w:t>
      </w:r>
      <w:r w:rsidRPr="00AD4F05">
        <w:rPr>
          <w:lang w:val="fr-FR"/>
        </w:rPr>
        <w:t xml:space="preserve"> </w:t>
      </w:r>
      <w:r>
        <w:rPr>
          <w:lang w:val="fr-FR"/>
        </w:rPr>
        <w:t>Lazarova Trajkovska</w:t>
      </w:r>
      <w:r w:rsidR="006544C4" w:rsidRPr="00AD4F05">
        <w:rPr>
          <w:lang w:val="fr-FR"/>
        </w:rPr>
        <w:br/>
      </w:r>
      <w:r w:rsidR="006544C4" w:rsidRPr="00AD4F05">
        <w:rPr>
          <w:lang w:val="fr-FR"/>
        </w:rPr>
        <w:tab/>
      </w:r>
      <w:r>
        <w:rPr>
          <w:lang w:val="fr-FR"/>
        </w:rPr>
        <w:t>Greffier adjoint</w:t>
      </w:r>
      <w:r w:rsidR="006544C4" w:rsidRPr="00AD4F05">
        <w:rPr>
          <w:lang w:val="fr-FR"/>
        </w:rPr>
        <w:tab/>
      </w:r>
      <w:r w:rsidRPr="00AD4F05">
        <w:rPr>
          <w:lang w:val="fr-FR"/>
        </w:rPr>
        <w:t>Présidente</w:t>
      </w:r>
    </w:p>
    <w:sectPr w:rsidR="00CE6ED9" w:rsidRPr="00AD4F05" w:rsidSect="00AF7102">
      <w:headerReference w:type="even" r:id="rId11"/>
      <w:headerReference w:type="default" r:id="rId12"/>
      <w:headerReference w:type="first" r:id="rId13"/>
      <w:footerReference w:type="first" r:id="rId14"/>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5BC" w:rsidRDefault="00E675BC" w:rsidP="006544C4">
      <w:r>
        <w:separator/>
      </w:r>
    </w:p>
  </w:endnote>
  <w:endnote w:type="continuationSeparator" w:id="0">
    <w:p w:rsidR="00E675BC" w:rsidRDefault="00E675BC" w:rsidP="0065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La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2D3" w:rsidRPr="00150BFA" w:rsidRDefault="003242D3" w:rsidP="003242D3">
    <w:pPr>
      <w:jc w:val="center"/>
    </w:pPr>
    <w:r>
      <w:rPr>
        <w:noProof/>
        <w:lang w:val="it-IT" w:eastAsia="it-IT"/>
      </w:rPr>
      <w:drawing>
        <wp:inline distT="0" distB="0" distL="0" distR="0" wp14:anchorId="7AE70278" wp14:editId="0B56A923">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3242D3" w:rsidRPr="00633A19" w:rsidRDefault="003242D3" w:rsidP="003242D3">
    <w:pP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5BC" w:rsidRDefault="00E675BC" w:rsidP="006544C4">
      <w:r>
        <w:separator/>
      </w:r>
    </w:p>
  </w:footnote>
  <w:footnote w:type="continuationSeparator" w:id="0">
    <w:p w:rsidR="00E675BC" w:rsidRDefault="00E675BC" w:rsidP="0065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2D3" w:rsidRPr="000D527F" w:rsidRDefault="003242D3" w:rsidP="003312A3">
    <w:pPr>
      <w:pStyle w:val="ECHRHeader"/>
      <w:rPr>
        <w:lang w:val="en-GB"/>
      </w:rPr>
    </w:pP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8A359A">
      <w:rPr>
        <w:rStyle w:val="Numeropagina"/>
        <w:noProof/>
        <w:lang w:val="en-GB"/>
      </w:rPr>
      <w:t>2</w:t>
    </w:r>
    <w:r>
      <w:rPr>
        <w:rStyle w:val="Numeropagina"/>
        <w:lang w:val="en-GB"/>
      </w:rPr>
      <w:fldChar w:fldCharType="end"/>
    </w:r>
    <w:r w:rsidRPr="000D527F">
      <w:rPr>
        <w:lang w:val="en-GB"/>
      </w:rPr>
      <w:tab/>
      <w:t xml:space="preserve">DÉCISION </w:t>
    </w:r>
    <w:r>
      <w:rPr>
        <w:lang w:val="en-GB"/>
      </w:rPr>
      <w:t>PODOLEANU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2D3" w:rsidRPr="000D527F" w:rsidRDefault="003242D3" w:rsidP="006544C4">
    <w:pPr>
      <w:pStyle w:val="ECHRHeader"/>
      <w:rPr>
        <w:lang w:val="en-GB"/>
      </w:rPr>
    </w:pPr>
    <w:r>
      <w:tab/>
    </w:r>
    <w:r w:rsidRPr="000D527F">
      <w:rPr>
        <w:lang w:val="en-GB"/>
      </w:rPr>
      <w:t xml:space="preserve">DÉCISION </w:t>
    </w:r>
    <w:r>
      <w:rPr>
        <w:lang w:val="en-GB"/>
      </w:rPr>
      <w:t>PODOLEANU c. ITALIE</w:t>
    </w:r>
    <w:r w:rsidRPr="000D527F">
      <w:rPr>
        <w:lang w:val="en-GB"/>
      </w:rPr>
      <w:tab/>
    </w: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8A359A">
      <w:rPr>
        <w:rStyle w:val="Numeropagina"/>
        <w:noProof/>
        <w:lang w:val="en-GB"/>
      </w:rPr>
      <w:t>11</w:t>
    </w:r>
    <w:r>
      <w:rPr>
        <w:rStyle w:val="Numeropagina"/>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2D3" w:rsidRPr="00A45145" w:rsidRDefault="003242D3" w:rsidP="003242D3">
    <w:pPr>
      <w:jc w:val="center"/>
    </w:pPr>
    <w:r>
      <w:rPr>
        <w:noProof/>
        <w:lang w:val="it-IT" w:eastAsia="it-IT"/>
      </w:rPr>
      <w:drawing>
        <wp:inline distT="0" distB="0" distL="0" distR="0" wp14:anchorId="10496263" wp14:editId="6A50296F">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3242D3" w:rsidRDefault="003242D3" w:rsidP="003242D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7"/>
  </w:num>
  <w:num w:numId="2">
    <w:abstractNumId w:val="6"/>
  </w:num>
  <w:num w:numId="3">
    <w:abstractNumId w:val="10"/>
  </w:num>
  <w:num w:numId="4">
    <w:abstractNumId w:val="11"/>
  </w:num>
  <w:num w:numId="5">
    <w:abstractNumId w:val="13"/>
  </w:num>
  <w:num w:numId="6">
    <w:abstractNumId w:val="9"/>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1"/>
    <w:docVar w:name="DocVarPREMATURE" w:val="0"/>
    <w:docVar w:name="EMM" w:val="0"/>
    <w:docVar w:name="ETRANSMISSION" w:val="PAR VOIE ÉLECTRONIQUE UNIQUEMENT"/>
    <w:docVar w:name="L4_1Annex" w:val="0"/>
    <w:docVar w:name="L4_1Anonymity" w:val="0"/>
    <w:docVar w:name="L4_1AppNatList" w:val="roumain"/>
    <w:docVar w:name="NBEMMDOC" w:val="0"/>
    <w:docVar w:name="Plural" w:val="0"/>
    <w:docVar w:name="SignForeName" w:val="0"/>
  </w:docVars>
  <w:rsids>
    <w:rsidRoot w:val="003242D3"/>
    <w:rsid w:val="000041F8"/>
    <w:rsid w:val="000042A8"/>
    <w:rsid w:val="00004308"/>
    <w:rsid w:val="00005BF0"/>
    <w:rsid w:val="00007154"/>
    <w:rsid w:val="000103AE"/>
    <w:rsid w:val="00011D69"/>
    <w:rsid w:val="00012AD3"/>
    <w:rsid w:val="00015C2D"/>
    <w:rsid w:val="00015F00"/>
    <w:rsid w:val="00022C1D"/>
    <w:rsid w:val="00034987"/>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530"/>
    <w:rsid w:val="0016678F"/>
    <w:rsid w:val="001832BD"/>
    <w:rsid w:val="001943B5"/>
    <w:rsid w:val="00195134"/>
    <w:rsid w:val="001A145B"/>
    <w:rsid w:val="001A22EF"/>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4B47"/>
    <w:rsid w:val="0026540E"/>
    <w:rsid w:val="00275123"/>
    <w:rsid w:val="00282240"/>
    <w:rsid w:val="002948AD"/>
    <w:rsid w:val="002977A3"/>
    <w:rsid w:val="002A01CC"/>
    <w:rsid w:val="002A61B1"/>
    <w:rsid w:val="002A663C"/>
    <w:rsid w:val="002B444B"/>
    <w:rsid w:val="002B5887"/>
    <w:rsid w:val="002C0E27"/>
    <w:rsid w:val="002C3040"/>
    <w:rsid w:val="002D022D"/>
    <w:rsid w:val="002D24BB"/>
    <w:rsid w:val="002F2AF7"/>
    <w:rsid w:val="002F6C4B"/>
    <w:rsid w:val="002F7E1C"/>
    <w:rsid w:val="00301A75"/>
    <w:rsid w:val="00302F70"/>
    <w:rsid w:val="0030336F"/>
    <w:rsid w:val="0030375E"/>
    <w:rsid w:val="00304E2C"/>
    <w:rsid w:val="00312A30"/>
    <w:rsid w:val="00320F72"/>
    <w:rsid w:val="003242D3"/>
    <w:rsid w:val="0032463E"/>
    <w:rsid w:val="00326224"/>
    <w:rsid w:val="003312A3"/>
    <w:rsid w:val="00334EC5"/>
    <w:rsid w:val="00337EE4"/>
    <w:rsid w:val="00340FFD"/>
    <w:rsid w:val="003506B1"/>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E6F5D"/>
    <w:rsid w:val="005F51E1"/>
    <w:rsid w:val="00611C80"/>
    <w:rsid w:val="00620692"/>
    <w:rsid w:val="006242CA"/>
    <w:rsid w:val="00627507"/>
    <w:rsid w:val="00633717"/>
    <w:rsid w:val="006344E1"/>
    <w:rsid w:val="0065181A"/>
    <w:rsid w:val="006544C4"/>
    <w:rsid w:val="006545C4"/>
    <w:rsid w:val="00661971"/>
    <w:rsid w:val="00661CE8"/>
    <w:rsid w:val="006623D9"/>
    <w:rsid w:val="0066550C"/>
    <w:rsid w:val="006714FC"/>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19B0"/>
    <w:rsid w:val="006F328F"/>
    <w:rsid w:val="006F48CA"/>
    <w:rsid w:val="006F64DD"/>
    <w:rsid w:val="00715127"/>
    <w:rsid w:val="00715E8E"/>
    <w:rsid w:val="00723580"/>
    <w:rsid w:val="00723755"/>
    <w:rsid w:val="0073136C"/>
    <w:rsid w:val="00731F0F"/>
    <w:rsid w:val="00733250"/>
    <w:rsid w:val="00737ACA"/>
    <w:rsid w:val="00741404"/>
    <w:rsid w:val="007449E5"/>
    <w:rsid w:val="00747FF0"/>
    <w:rsid w:val="00764D4E"/>
    <w:rsid w:val="00765A1F"/>
    <w:rsid w:val="00775B6D"/>
    <w:rsid w:val="00776D68"/>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205"/>
    <w:rsid w:val="0086497A"/>
    <w:rsid w:val="008713A1"/>
    <w:rsid w:val="008754AB"/>
    <w:rsid w:val="0088060C"/>
    <w:rsid w:val="00893576"/>
    <w:rsid w:val="00893E73"/>
    <w:rsid w:val="008A359A"/>
    <w:rsid w:val="008B02DC"/>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4301"/>
    <w:rsid w:val="00934A97"/>
    <w:rsid w:val="00936CD1"/>
    <w:rsid w:val="00941747"/>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18A7"/>
    <w:rsid w:val="00AA227F"/>
    <w:rsid w:val="00AA3BC7"/>
    <w:rsid w:val="00AA754A"/>
    <w:rsid w:val="00AB099E"/>
    <w:rsid w:val="00AB4328"/>
    <w:rsid w:val="00AD4F05"/>
    <w:rsid w:val="00AE0A2E"/>
    <w:rsid w:val="00AE354C"/>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654CA"/>
    <w:rsid w:val="00B701ED"/>
    <w:rsid w:val="00B8086C"/>
    <w:rsid w:val="00B861B4"/>
    <w:rsid w:val="00B86DFE"/>
    <w:rsid w:val="00B87FB1"/>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097E"/>
    <w:rsid w:val="00C41974"/>
    <w:rsid w:val="00C53F4A"/>
    <w:rsid w:val="00C54125"/>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18D9"/>
    <w:rsid w:val="00DD6EE5"/>
    <w:rsid w:val="00DE386C"/>
    <w:rsid w:val="00DE4D35"/>
    <w:rsid w:val="00DF098B"/>
    <w:rsid w:val="00DF1114"/>
    <w:rsid w:val="00DF11C4"/>
    <w:rsid w:val="00DF210C"/>
    <w:rsid w:val="00DF4B6A"/>
    <w:rsid w:val="00E02897"/>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675BC"/>
    <w:rsid w:val="00E70091"/>
    <w:rsid w:val="00E720F5"/>
    <w:rsid w:val="00E76D47"/>
    <w:rsid w:val="00E849F7"/>
    <w:rsid w:val="00E8668A"/>
    <w:rsid w:val="00E90302"/>
    <w:rsid w:val="00E97396"/>
    <w:rsid w:val="00EA185E"/>
    <w:rsid w:val="00EA592A"/>
    <w:rsid w:val="00EB14E4"/>
    <w:rsid w:val="00EB32A5"/>
    <w:rsid w:val="00EB34ED"/>
    <w:rsid w:val="00EB7BE0"/>
    <w:rsid w:val="00EC315E"/>
    <w:rsid w:val="00EC78A3"/>
    <w:rsid w:val="00ED077C"/>
    <w:rsid w:val="00ED1190"/>
    <w:rsid w:val="00ED6544"/>
    <w:rsid w:val="00EE0277"/>
    <w:rsid w:val="00EE3E00"/>
    <w:rsid w:val="00EE5259"/>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56A6F"/>
    <w:rsid w:val="00F5709C"/>
    <w:rsid w:val="00F64EF1"/>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iPriority="0"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lsdException w:name="List 2" w:semiHidden="1" w:uiPriority="0" w:unhideWhenUsed="1"/>
    <w:lsdException w:name="List 3" w:semiHidden="1" w:unhideWhenUsed="1"/>
    <w:lsdException w:name="List 4" w:semiHidden="1" w:uiPriority="0"/>
    <w:lsdException w:name="List 5" w:semiHidden="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uiPriority="61"/>
    <w:lsdException w:name="Light Grid"/>
    <w:lsdException w:name="Medium Shading 1"/>
    <w:lsdException w:name="Medium Shading 2"/>
    <w:lsdException w:name="Medium List 1"/>
    <w:lsdException w:name="Medium List 2" w:uiPriority="66"/>
    <w:lsdException w:name="Medium Grid 1" w:uiPriority="67"/>
    <w:lsdException w:name="Medium Grid 2"/>
    <w:lsdException w:name="Medium Grid 3"/>
    <w:lsdException w:name="Dark List"/>
    <w:lsdException w:name="Colorful Shading"/>
    <w:lsdException w:name="Colorful List" w:uiPriority="72"/>
    <w:lsdException w:name="Colorful Grid"/>
    <w:lsdException w:name="Light Shading Accent 1"/>
    <w:lsdException w:name="Light List Accent 1"/>
    <w:lsdException w:name="Light Grid Accent 1" w:uiPriority="62"/>
    <w:lsdException w:name="Medium Shading 1 Accent 1" w:uiPriority="63"/>
    <w:lsdException w:name="Medium Shading 2 Accent 1"/>
    <w:lsdException w:name="Medium List 1 Accent 1" w:uiPriority="65"/>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68"/>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uiPriority="61"/>
    <w:lsdException w:name="Light Grid Accent 2"/>
    <w:lsdException w:name="Medium Shading 1 Accent 2"/>
    <w:lsdException w:name="Medium Shading 2 Accent 2" w:uiPriority="64"/>
    <w:lsdException w:name="Medium List 1 Accent 2"/>
    <w:lsdException w:name="Medium List 2 Accent 2" w:uiPriority="66"/>
    <w:lsdException w:name="Medium Grid 1 Accent 2"/>
    <w:lsdException w:name="Medium Grid 2 Accent 2"/>
    <w:lsdException w:name="Medium Grid 3 Accent 2" w:uiPriority="69"/>
    <w:lsdException w:name="Dark List Accent 2" w:uiPriority="70"/>
    <w:lsdException w:name="Colorful Shading Accent 2"/>
    <w:lsdException w:name="Colorful List Accent 2" w:uiPriority="72"/>
    <w:lsdException w:name="Colorful Grid Accent 2"/>
    <w:lsdException w:name="Light Shading Accent 3" w:uiPriority="60"/>
    <w:lsdException w:name="Light List Accent 3"/>
    <w:lsdException w:name="Light Grid Accent 3"/>
    <w:lsdException w:name="Medium Shading 1 Accent 3" w:uiPriority="63"/>
    <w:lsdException w:name="Medium Shading 2 Accent 3"/>
    <w:lsdException w:name="Medium List 1 Accent 3" w:uiPriority="65"/>
    <w:lsdException w:name="Medium List 2 Accent 3"/>
    <w:lsdException w:name="Medium Grid 1 Accent 3"/>
    <w:lsdException w:name="Medium Grid 2 Accent 3"/>
    <w:lsdException w:name="Medium Grid 3 Accent 3"/>
    <w:lsdException w:name="Dark List Accent 3"/>
    <w:lsdException w:name="Colorful Shading Accent 3" w:uiPriority="71"/>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uiPriority="66"/>
    <w:lsdException w:name="Medium Grid 1 Accent 4" w:uiPriority="67"/>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uiPriority="62"/>
    <w:lsdException w:name="Medium Shading 1 Accent 5" w:uiPriority="63"/>
    <w:lsdException w:name="Medium Shading 2 Accent 5"/>
    <w:lsdException w:name="Medium List 1 Accent 5"/>
    <w:lsdException w:name="Medium List 2 Accent 5"/>
    <w:lsdException w:name="Medium Grid 1 Accent 5"/>
    <w:lsdException w:name="Medium Grid 2 Accent 5" w:uiPriority="68"/>
    <w:lsdException w:name="Medium Grid 3 Accent 5"/>
    <w:lsdException w:name="Dark List Accent 5"/>
    <w:lsdException w:name="Colorful Shading Accent 5"/>
    <w:lsdException w:name="Colorful List Accent 5"/>
    <w:lsdException w:name="Colorful Grid Accent 5" w:uiPriority="73"/>
    <w:lsdException w:name="Light Shading Accent 6"/>
    <w:lsdException w:name="Light List Accent 6" w:uiPriority="61"/>
    <w:lsdException w:name="Light Grid Accent 6"/>
    <w:lsdException w:name="Medium Shading 1 Accent 6"/>
    <w:lsdException w:name="Medium Shading 2 Accent 6" w:uiPriority="64"/>
    <w:lsdException w:name="Medium List 1 Accent 6"/>
    <w:lsdException w:name="Medium List 2 Accent 6"/>
    <w:lsdException w:name="Medium Grid 1 Accent 6" w:uiPriority="67"/>
    <w:lsdException w:name="Medium Grid 2 Accent 6"/>
    <w:lsdException w:name="Medium Grid 3 Accent 6" w:uiPriority="69"/>
    <w:lsdException w:name="Dark List Accent 6" w:uiPriority="70"/>
    <w:lsdException w:name="Colorful Shading Accent 6"/>
    <w:lsdException w:name="Colorful List Accent 6" w:uiPriority="72"/>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6714FC"/>
    <w:pPr>
      <w:jc w:val="both"/>
    </w:pPr>
    <w:rPr>
      <w:rFonts w:eastAsiaTheme="minorEastAsia"/>
      <w:sz w:val="24"/>
    </w:rPr>
  </w:style>
  <w:style w:type="paragraph" w:styleId="Titolo1">
    <w:name w:val="heading 1"/>
    <w:basedOn w:val="Normale"/>
    <w:next w:val="Normale"/>
    <w:link w:val="Titolo1Carattere"/>
    <w:uiPriority w:val="99"/>
    <w:semiHidden/>
    <w:rsid w:val="006714FC"/>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6714FC"/>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6714FC"/>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6714FC"/>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6714FC"/>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6714FC"/>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6714FC"/>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6714FC"/>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6714FC"/>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6714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14FC"/>
    <w:rPr>
      <w:rFonts w:ascii="Tahoma" w:eastAsiaTheme="minorEastAsia" w:hAnsi="Tahoma" w:cs="Tahoma"/>
      <w:sz w:val="16"/>
      <w:szCs w:val="16"/>
    </w:rPr>
  </w:style>
  <w:style w:type="character" w:styleId="Titolodellibro">
    <w:name w:val="Book Title"/>
    <w:uiPriority w:val="99"/>
    <w:semiHidden/>
    <w:qFormat/>
    <w:rsid w:val="006714FC"/>
    <w:rPr>
      <w:i/>
      <w:iCs/>
      <w:smallCaps/>
      <w:spacing w:val="5"/>
    </w:rPr>
  </w:style>
  <w:style w:type="paragraph" w:customStyle="1" w:styleId="ECHRHeader">
    <w:name w:val="ECHR_Header"/>
    <w:aliases w:val="Ju_Header"/>
    <w:basedOn w:val="Intestazione"/>
    <w:uiPriority w:val="4"/>
    <w:qFormat/>
    <w:rsid w:val="006714FC"/>
    <w:pPr>
      <w:tabs>
        <w:tab w:val="clear" w:pos="4536"/>
        <w:tab w:val="clear" w:pos="9072"/>
        <w:tab w:val="center" w:pos="3686"/>
        <w:tab w:val="right" w:pos="7371"/>
      </w:tabs>
      <w:jc w:val="left"/>
    </w:pPr>
    <w:rPr>
      <w:sz w:val="18"/>
    </w:rPr>
  </w:style>
  <w:style w:type="paragraph" w:customStyle="1" w:styleId="JuAppQuestion">
    <w:name w:val="Ju_App_Question"/>
    <w:basedOn w:val="Normale"/>
    <w:uiPriority w:val="5"/>
    <w:qFormat/>
    <w:rsid w:val="006714FC"/>
    <w:pPr>
      <w:numPr>
        <w:numId w:val="14"/>
      </w:numPr>
      <w:jc w:val="left"/>
    </w:pPr>
    <w:rPr>
      <w:b/>
    </w:rPr>
  </w:style>
  <w:style w:type="character" w:styleId="Enfasigrassetto">
    <w:name w:val="Strong"/>
    <w:uiPriority w:val="99"/>
    <w:semiHidden/>
    <w:qFormat/>
    <w:rsid w:val="006714FC"/>
    <w:rPr>
      <w:b/>
      <w:bCs/>
    </w:rPr>
  </w:style>
  <w:style w:type="paragraph" w:styleId="Nessunaspaziatura">
    <w:name w:val="No Spacing"/>
    <w:basedOn w:val="Normale"/>
    <w:link w:val="NessunaspaziaturaCarattere"/>
    <w:semiHidden/>
    <w:qFormat/>
    <w:rsid w:val="006714FC"/>
    <w:rPr>
      <w:sz w:val="22"/>
    </w:rPr>
  </w:style>
  <w:style w:type="character" w:customStyle="1" w:styleId="NessunaspaziaturaCarattere">
    <w:name w:val="Nessuna spaziatura Carattere"/>
    <w:basedOn w:val="Carpredefinitoparagrafo"/>
    <w:link w:val="Nessunaspaziatura"/>
    <w:semiHidden/>
    <w:rsid w:val="006714FC"/>
    <w:rPr>
      <w:rFonts w:eastAsiaTheme="minorEastAsia"/>
    </w:rPr>
  </w:style>
  <w:style w:type="paragraph" w:customStyle="1" w:styleId="OpiPara">
    <w:name w:val="Opi_Para"/>
    <w:basedOn w:val="ECHRPara"/>
    <w:uiPriority w:val="46"/>
    <w:semiHidden/>
    <w:qFormat/>
    <w:rsid w:val="006714FC"/>
  </w:style>
  <w:style w:type="paragraph" w:customStyle="1" w:styleId="ECHRParaQuote">
    <w:name w:val="ECHR_Para_Quote"/>
    <w:aliases w:val="Ju_Quot"/>
    <w:basedOn w:val="Normale"/>
    <w:uiPriority w:val="14"/>
    <w:qFormat/>
    <w:rsid w:val="006714FC"/>
    <w:pPr>
      <w:spacing w:before="120" w:after="120"/>
      <w:ind w:left="425" w:firstLine="142"/>
    </w:pPr>
    <w:rPr>
      <w:sz w:val="20"/>
    </w:rPr>
  </w:style>
  <w:style w:type="paragraph" w:customStyle="1" w:styleId="JuParaSub">
    <w:name w:val="Ju_Para_Sub"/>
    <w:basedOn w:val="ECHRPara"/>
    <w:link w:val="JuParaSubChar"/>
    <w:uiPriority w:val="13"/>
    <w:qFormat/>
    <w:rsid w:val="006714FC"/>
    <w:pPr>
      <w:ind w:left="284"/>
    </w:pPr>
  </w:style>
  <w:style w:type="paragraph" w:customStyle="1" w:styleId="OpiParaSub">
    <w:name w:val="Opi_Para_Sub"/>
    <w:basedOn w:val="JuParaSub"/>
    <w:uiPriority w:val="47"/>
    <w:semiHidden/>
    <w:qFormat/>
    <w:rsid w:val="006714FC"/>
  </w:style>
  <w:style w:type="paragraph" w:customStyle="1" w:styleId="OpiQuot">
    <w:name w:val="Opi_Quot"/>
    <w:basedOn w:val="ECHRParaQuote"/>
    <w:uiPriority w:val="48"/>
    <w:semiHidden/>
    <w:qFormat/>
    <w:rsid w:val="006714FC"/>
  </w:style>
  <w:style w:type="paragraph" w:customStyle="1" w:styleId="OpiQuotSub">
    <w:name w:val="Opi_Quot_Sub"/>
    <w:basedOn w:val="JuQuotSub"/>
    <w:uiPriority w:val="49"/>
    <w:semiHidden/>
    <w:qFormat/>
    <w:rsid w:val="006714FC"/>
  </w:style>
  <w:style w:type="paragraph" w:customStyle="1" w:styleId="ECHRTitleCentre3">
    <w:name w:val="ECHR_Title_Centre_3"/>
    <w:aliases w:val="Ju_H_Article"/>
    <w:basedOn w:val="Normale"/>
    <w:next w:val="ECHRParaQuote"/>
    <w:uiPriority w:val="27"/>
    <w:qFormat/>
    <w:rsid w:val="006714FC"/>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semiHidden/>
    <w:qFormat/>
    <w:rsid w:val="006714FC"/>
    <w:pPr>
      <w:keepNext/>
      <w:keepLines/>
      <w:spacing w:after="240"/>
      <w:jc w:val="center"/>
      <w:outlineLvl w:val="0"/>
    </w:pPr>
    <w:rPr>
      <w:rFonts w:asciiTheme="majorHAnsi" w:hAnsiTheme="majorHAnsi"/>
      <w:sz w:val="28"/>
    </w:rPr>
  </w:style>
  <w:style w:type="paragraph" w:customStyle="1" w:styleId="JuTitle">
    <w:name w:val="Ju_Title"/>
    <w:basedOn w:val="Normale"/>
    <w:next w:val="ECHRPara"/>
    <w:uiPriority w:val="3"/>
    <w:qFormat/>
    <w:rsid w:val="006714FC"/>
    <w:pPr>
      <w:spacing w:before="720" w:after="240"/>
      <w:jc w:val="center"/>
      <w:outlineLvl w:val="0"/>
    </w:pPr>
    <w:rPr>
      <w:rFonts w:asciiTheme="majorHAnsi" w:hAnsiTheme="majorHAnsi"/>
      <w:b/>
      <w:caps/>
    </w:rPr>
  </w:style>
  <w:style w:type="paragraph" w:customStyle="1" w:styleId="ECHRTitle1">
    <w:name w:val="ECHR_Title_1"/>
    <w:aliases w:val="Ju_H_Head"/>
    <w:basedOn w:val="Normale"/>
    <w:next w:val="ECHRPara"/>
    <w:uiPriority w:val="18"/>
    <w:qFormat/>
    <w:rsid w:val="006714FC"/>
    <w:pPr>
      <w:keepNext/>
      <w:keepLines/>
      <w:spacing w:before="720" w:after="240"/>
      <w:outlineLvl w:val="0"/>
    </w:pPr>
    <w:rPr>
      <w:rFonts w:asciiTheme="majorHAnsi" w:hAnsiTheme="majorHAnsi"/>
      <w:sz w:val="28"/>
    </w:rPr>
  </w:style>
  <w:style w:type="paragraph" w:customStyle="1" w:styleId="JuCase">
    <w:name w:val="Ju_Case"/>
    <w:basedOn w:val="Normale"/>
    <w:next w:val="ECHRPara"/>
    <w:uiPriority w:val="10"/>
    <w:semiHidden/>
    <w:rsid w:val="006714FC"/>
    <w:pPr>
      <w:ind w:firstLine="284"/>
    </w:pPr>
    <w:rPr>
      <w:b/>
    </w:rPr>
  </w:style>
  <w:style w:type="paragraph" w:styleId="Titolo">
    <w:name w:val="Title"/>
    <w:basedOn w:val="Normale"/>
    <w:next w:val="Normale"/>
    <w:link w:val="TitoloCarattere"/>
    <w:uiPriority w:val="99"/>
    <w:semiHidden/>
    <w:qFormat/>
    <w:rsid w:val="006714FC"/>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6714FC"/>
    <w:rPr>
      <w:rFonts w:asciiTheme="majorHAnsi" w:eastAsiaTheme="majorEastAsia" w:hAnsiTheme="majorHAnsi" w:cstheme="majorBidi"/>
      <w:spacing w:val="5"/>
      <w:sz w:val="52"/>
      <w:szCs w:val="52"/>
      <w:lang w:bidi="en-US"/>
    </w:rPr>
  </w:style>
  <w:style w:type="paragraph" w:customStyle="1" w:styleId="JuQuotSub">
    <w:name w:val="Ju_Quot_Sub"/>
    <w:basedOn w:val="ECHRParaQuote"/>
    <w:uiPriority w:val="15"/>
    <w:qFormat/>
    <w:rsid w:val="006714FC"/>
    <w:pPr>
      <w:ind w:left="567"/>
    </w:pPr>
  </w:style>
  <w:style w:type="paragraph" w:customStyle="1" w:styleId="JuInitialled">
    <w:name w:val="Ju_Initialled"/>
    <w:basedOn w:val="Normale"/>
    <w:uiPriority w:val="31"/>
    <w:qFormat/>
    <w:rsid w:val="006714FC"/>
    <w:pPr>
      <w:tabs>
        <w:tab w:val="center" w:pos="6407"/>
      </w:tabs>
      <w:spacing w:before="720"/>
      <w:jc w:val="right"/>
    </w:pPr>
  </w:style>
  <w:style w:type="paragraph" w:customStyle="1" w:styleId="OpiHA">
    <w:name w:val="Opi_H_A"/>
    <w:basedOn w:val="ECHRHeading1"/>
    <w:next w:val="OpiPara"/>
    <w:uiPriority w:val="41"/>
    <w:semiHidden/>
    <w:qFormat/>
    <w:rsid w:val="006714FC"/>
    <w:pPr>
      <w:tabs>
        <w:tab w:val="clear" w:pos="357"/>
      </w:tabs>
      <w:outlineLvl w:val="1"/>
    </w:pPr>
    <w:rPr>
      <w:b/>
    </w:rPr>
  </w:style>
  <w:style w:type="character" w:customStyle="1" w:styleId="JUNAMES">
    <w:name w:val="JU_NAMES"/>
    <w:uiPriority w:val="17"/>
    <w:qFormat/>
    <w:rsid w:val="006714FC"/>
    <w:rPr>
      <w:caps w:val="0"/>
      <w:smallCaps/>
    </w:rPr>
  </w:style>
  <w:style w:type="character" w:customStyle="1" w:styleId="JuITMark">
    <w:name w:val="Ju_ITMark"/>
    <w:basedOn w:val="Carpredefinitoparagrafo"/>
    <w:uiPriority w:val="38"/>
    <w:qFormat/>
    <w:rsid w:val="006714FC"/>
    <w:rPr>
      <w:vanish w:val="0"/>
      <w:color w:val="auto"/>
      <w:sz w:val="14"/>
    </w:rPr>
  </w:style>
  <w:style w:type="paragraph" w:customStyle="1" w:styleId="ECHRHeading1">
    <w:name w:val="ECHR_Heading_1"/>
    <w:aliases w:val="Ju_H_I_Roman"/>
    <w:basedOn w:val="Titolo1"/>
    <w:next w:val="ECHRPara"/>
    <w:uiPriority w:val="19"/>
    <w:qFormat/>
    <w:rsid w:val="006714FC"/>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6714FC"/>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6714FC"/>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6714FC"/>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6714FC"/>
    <w:rPr>
      <w:sz w:val="24"/>
    </w:rPr>
  </w:style>
  <w:style w:type="character" w:customStyle="1" w:styleId="Titolo1Carattere">
    <w:name w:val="Titolo 1 Carattere"/>
    <w:basedOn w:val="Carpredefinitoparagrafo"/>
    <w:link w:val="Titolo1"/>
    <w:uiPriority w:val="99"/>
    <w:semiHidden/>
    <w:rsid w:val="006714FC"/>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ECHRPara"/>
    <w:uiPriority w:val="22"/>
    <w:qFormat/>
    <w:rsid w:val="006714FC"/>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6714FC"/>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6714FC"/>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ECHRPara"/>
    <w:uiPriority w:val="24"/>
    <w:qFormat/>
    <w:rsid w:val="006714FC"/>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ECHRPara"/>
    <w:uiPriority w:val="25"/>
    <w:qFormat/>
    <w:rsid w:val="006714FC"/>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6714FC"/>
    <w:rPr>
      <w:rFonts w:asciiTheme="majorHAnsi" w:eastAsiaTheme="majorEastAsia" w:hAnsiTheme="majorHAnsi" w:cstheme="majorBidi"/>
      <w:b/>
      <w:bCs/>
      <w:color w:val="5F5F5F"/>
      <w:sz w:val="24"/>
    </w:rPr>
  </w:style>
  <w:style w:type="paragraph" w:customStyle="1" w:styleId="JuParaLast">
    <w:name w:val="Ju_Para_Last"/>
    <w:basedOn w:val="Normale"/>
    <w:next w:val="ECHRPara"/>
    <w:uiPriority w:val="30"/>
    <w:qFormat/>
    <w:rsid w:val="006714FC"/>
    <w:pPr>
      <w:keepNext/>
      <w:keepLines/>
      <w:spacing w:before="240"/>
      <w:ind w:firstLine="284"/>
    </w:pPr>
  </w:style>
  <w:style w:type="paragraph" w:customStyle="1" w:styleId="DecList">
    <w:name w:val="Dec_List"/>
    <w:basedOn w:val="Normale"/>
    <w:uiPriority w:val="9"/>
    <w:qFormat/>
    <w:rsid w:val="006714FC"/>
    <w:pPr>
      <w:spacing w:before="240"/>
      <w:ind w:left="284"/>
    </w:pPr>
  </w:style>
  <w:style w:type="character" w:customStyle="1" w:styleId="Titolo4Carattere">
    <w:name w:val="Titolo 4 Carattere"/>
    <w:basedOn w:val="Carpredefinitoparagrafo"/>
    <w:link w:val="Titolo4"/>
    <w:uiPriority w:val="99"/>
    <w:semiHidden/>
    <w:rsid w:val="006714FC"/>
    <w:rPr>
      <w:rFonts w:asciiTheme="majorHAnsi" w:eastAsiaTheme="majorEastAsia" w:hAnsiTheme="majorHAnsi" w:cstheme="majorBidi"/>
      <w:b/>
      <w:bCs/>
      <w:i/>
      <w:iCs/>
      <w:color w:val="777777"/>
      <w:sz w:val="24"/>
    </w:rPr>
  </w:style>
  <w:style w:type="paragraph" w:customStyle="1" w:styleId="ECHRDecisionBody">
    <w:name w:val="ECHR_Decision_Body"/>
    <w:aliases w:val="Ju_Judges"/>
    <w:basedOn w:val="Normale"/>
    <w:uiPriority w:val="11"/>
    <w:qFormat/>
    <w:rsid w:val="006714FC"/>
    <w:pPr>
      <w:tabs>
        <w:tab w:val="left" w:pos="567"/>
        <w:tab w:val="left" w:pos="1134"/>
      </w:tabs>
      <w:jc w:val="left"/>
    </w:pPr>
  </w:style>
  <w:style w:type="character" w:customStyle="1" w:styleId="Titolo5Carattere">
    <w:name w:val="Titolo 5 Carattere"/>
    <w:basedOn w:val="Carpredefinitoparagrafo"/>
    <w:link w:val="Titolo5"/>
    <w:uiPriority w:val="99"/>
    <w:semiHidden/>
    <w:rsid w:val="006714FC"/>
    <w:rPr>
      <w:rFonts w:asciiTheme="majorHAnsi" w:eastAsiaTheme="majorEastAsia" w:hAnsiTheme="majorHAnsi" w:cstheme="majorBidi"/>
      <w:b/>
      <w:bCs/>
      <w:color w:val="808080"/>
    </w:rPr>
  </w:style>
  <w:style w:type="paragraph" w:customStyle="1" w:styleId="OpiTranslation">
    <w:name w:val="Opi_Translation"/>
    <w:basedOn w:val="Normale"/>
    <w:next w:val="OpiPara"/>
    <w:uiPriority w:val="40"/>
    <w:semiHidden/>
    <w:qFormat/>
    <w:rsid w:val="006714FC"/>
    <w:pPr>
      <w:jc w:val="center"/>
      <w:outlineLvl w:val="0"/>
    </w:pPr>
    <w:rPr>
      <w:i/>
    </w:rPr>
  </w:style>
  <w:style w:type="paragraph" w:customStyle="1" w:styleId="JuCourt">
    <w:name w:val="Ju_Court"/>
    <w:basedOn w:val="Normale"/>
    <w:next w:val="Normale"/>
    <w:uiPriority w:val="16"/>
    <w:qFormat/>
    <w:rsid w:val="006714FC"/>
    <w:pPr>
      <w:tabs>
        <w:tab w:val="left" w:pos="907"/>
        <w:tab w:val="left" w:pos="1701"/>
        <w:tab w:val="right" w:pos="7371"/>
      </w:tabs>
      <w:spacing w:before="240"/>
      <w:ind w:left="397" w:hanging="397"/>
      <w:jc w:val="left"/>
    </w:pPr>
    <w:rPr>
      <w:lang w:bidi="en-US"/>
    </w:rPr>
  </w:style>
  <w:style w:type="character" w:styleId="Enfasidelicata">
    <w:name w:val="Subtle Emphasis"/>
    <w:uiPriority w:val="99"/>
    <w:semiHidden/>
    <w:qFormat/>
    <w:rsid w:val="006714FC"/>
    <w:rPr>
      <w:i/>
      <w:iCs/>
    </w:rPr>
  </w:style>
  <w:style w:type="paragraph" w:customStyle="1" w:styleId="JuList">
    <w:name w:val="Ju_List"/>
    <w:basedOn w:val="Normale"/>
    <w:uiPriority w:val="28"/>
    <w:qFormat/>
    <w:rsid w:val="006714FC"/>
    <w:pPr>
      <w:ind w:left="340" w:hanging="340"/>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a">
    <w:name w:val="Ju_List_a"/>
    <w:basedOn w:val="JuList"/>
    <w:uiPriority w:val="28"/>
    <w:qFormat/>
    <w:rsid w:val="006714FC"/>
    <w:pPr>
      <w:ind w:left="346" w:firstLine="0"/>
    </w:pPr>
  </w:style>
  <w:style w:type="paragraph" w:customStyle="1" w:styleId="JuListi">
    <w:name w:val="Ju_List_i"/>
    <w:basedOn w:val="Normale"/>
    <w:next w:val="JuLista"/>
    <w:uiPriority w:val="28"/>
    <w:qFormat/>
    <w:rsid w:val="006714FC"/>
    <w:pPr>
      <w:ind w:left="794"/>
    </w:pPr>
  </w:style>
  <w:style w:type="paragraph" w:customStyle="1" w:styleId="ECHRTitleCentre2">
    <w:name w:val="ECHR_Title_Centre_2"/>
    <w:aliases w:val="Dec_H_Case"/>
    <w:basedOn w:val="Normale"/>
    <w:next w:val="ECHRPara"/>
    <w:uiPriority w:val="8"/>
    <w:qFormat/>
    <w:rsid w:val="006714FC"/>
    <w:pPr>
      <w:spacing w:after="240"/>
      <w:jc w:val="center"/>
      <w:outlineLvl w:val="0"/>
    </w:pPr>
    <w:rPr>
      <w:rFonts w:asciiTheme="majorHAnsi" w:hAnsiTheme="majorHAnsi"/>
    </w:rPr>
  </w:style>
  <w:style w:type="character" w:styleId="Enfasicorsivo">
    <w:name w:val="Emphasis"/>
    <w:uiPriority w:val="99"/>
    <w:semiHidden/>
    <w:qFormat/>
    <w:rsid w:val="006714FC"/>
    <w:rPr>
      <w:b/>
      <w:bCs/>
      <w:i/>
      <w:iCs/>
      <w:spacing w:val="10"/>
      <w:bdr w:val="none" w:sz="0" w:space="0" w:color="auto"/>
      <w:shd w:val="clear" w:color="auto" w:fill="auto"/>
    </w:rPr>
  </w:style>
  <w:style w:type="paragraph" w:styleId="Pidipagina">
    <w:name w:val="footer"/>
    <w:basedOn w:val="Normale"/>
    <w:link w:val="PidipaginaCarattere"/>
    <w:uiPriority w:val="57"/>
    <w:semiHidden/>
    <w:rsid w:val="006714FC"/>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6714FC"/>
    <w:rPr>
      <w:sz w:val="24"/>
    </w:rPr>
  </w:style>
  <w:style w:type="character" w:styleId="Rimandonotaapidipagina">
    <w:name w:val="footnote reference"/>
    <w:basedOn w:val="Carpredefinitoparagrafo"/>
    <w:uiPriority w:val="99"/>
    <w:semiHidden/>
    <w:rsid w:val="006714FC"/>
    <w:rPr>
      <w:vertAlign w:val="superscript"/>
    </w:rPr>
  </w:style>
  <w:style w:type="paragraph" w:styleId="Testonotaapidipagina">
    <w:name w:val="footnote text"/>
    <w:basedOn w:val="Normale"/>
    <w:link w:val="TestonotaapidipaginaCarattere"/>
    <w:uiPriority w:val="99"/>
    <w:semiHidden/>
    <w:rsid w:val="006714FC"/>
    <w:rPr>
      <w:sz w:val="20"/>
      <w:szCs w:val="20"/>
    </w:rPr>
  </w:style>
  <w:style w:type="character" w:customStyle="1" w:styleId="TestonotaapidipaginaCarattere">
    <w:name w:val="Testo nota a piè di pagina Carattere"/>
    <w:basedOn w:val="Carpredefinitoparagrafo"/>
    <w:link w:val="Testonotaapidipagina"/>
    <w:uiPriority w:val="99"/>
    <w:semiHidden/>
    <w:rsid w:val="006714FC"/>
    <w:rPr>
      <w:rFonts w:eastAsiaTheme="minorEastAsia"/>
      <w:sz w:val="20"/>
      <w:szCs w:val="20"/>
    </w:rPr>
  </w:style>
  <w:style w:type="character" w:customStyle="1" w:styleId="Titolo6Carattere">
    <w:name w:val="Titolo 6 Carattere"/>
    <w:basedOn w:val="Carpredefinitoparagrafo"/>
    <w:link w:val="Titolo6"/>
    <w:uiPriority w:val="99"/>
    <w:semiHidden/>
    <w:rsid w:val="006714FC"/>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6714FC"/>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6714FC"/>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6714FC"/>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6714FC"/>
    <w:rPr>
      <w:color w:val="0072BC" w:themeColor="hyperlink"/>
      <w:u w:val="single"/>
    </w:rPr>
  </w:style>
  <w:style w:type="character" w:styleId="Enfasiintensa">
    <w:name w:val="Intense Emphasis"/>
    <w:uiPriority w:val="99"/>
    <w:semiHidden/>
    <w:qFormat/>
    <w:rsid w:val="006714FC"/>
    <w:rPr>
      <w:b/>
      <w:bCs/>
    </w:rPr>
  </w:style>
  <w:style w:type="paragraph" w:styleId="Citazioneintensa">
    <w:name w:val="Intense Quote"/>
    <w:basedOn w:val="Normale"/>
    <w:next w:val="Normale"/>
    <w:link w:val="CitazioneintensaCarattere"/>
    <w:uiPriority w:val="99"/>
    <w:semiHidden/>
    <w:qFormat/>
    <w:rsid w:val="006714FC"/>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6714FC"/>
    <w:rPr>
      <w:rFonts w:eastAsiaTheme="minorEastAsia"/>
      <w:b/>
      <w:bCs/>
      <w:i/>
      <w:iCs/>
      <w:lang w:bidi="en-US"/>
    </w:rPr>
  </w:style>
  <w:style w:type="character" w:styleId="Riferimentointenso">
    <w:name w:val="Intense Reference"/>
    <w:uiPriority w:val="99"/>
    <w:semiHidden/>
    <w:qFormat/>
    <w:rsid w:val="006714FC"/>
    <w:rPr>
      <w:smallCaps/>
      <w:spacing w:val="5"/>
      <w:u w:val="single"/>
    </w:rPr>
  </w:style>
  <w:style w:type="paragraph" w:styleId="Paragrafoelenco">
    <w:name w:val="List Paragraph"/>
    <w:basedOn w:val="Normale"/>
    <w:uiPriority w:val="99"/>
    <w:semiHidden/>
    <w:qFormat/>
    <w:rsid w:val="006714FC"/>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6714FC"/>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6714FC"/>
    <w:rPr>
      <w:rFonts w:eastAsiaTheme="minorEastAsia"/>
      <w:i/>
      <w:iCs/>
      <w:lang w:bidi="en-US"/>
    </w:rPr>
  </w:style>
  <w:style w:type="character" w:styleId="Riferimentodelicato">
    <w:name w:val="Subtle Reference"/>
    <w:uiPriority w:val="99"/>
    <w:semiHidden/>
    <w:qFormat/>
    <w:rsid w:val="006714FC"/>
    <w:rPr>
      <w:smallCaps/>
    </w:rPr>
  </w:style>
  <w:style w:type="table" w:styleId="Grigliatabella">
    <w:name w:val="Table Grid"/>
    <w:basedOn w:val="Tabellanormale"/>
    <w:uiPriority w:val="59"/>
    <w:semiHidden/>
    <w:rsid w:val="006714F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6714FC"/>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6714FC"/>
    <w:pPr>
      <w:spacing w:after="60"/>
      <w:ind w:left="680" w:right="340" w:hanging="340"/>
    </w:pPr>
  </w:style>
  <w:style w:type="paragraph" w:styleId="Sommario3">
    <w:name w:val="toc 3"/>
    <w:basedOn w:val="Normale"/>
    <w:next w:val="Normale"/>
    <w:autoRedefine/>
    <w:uiPriority w:val="99"/>
    <w:semiHidden/>
    <w:rsid w:val="006714FC"/>
    <w:pPr>
      <w:spacing w:after="60"/>
      <w:ind w:left="1020" w:right="340" w:hanging="340"/>
    </w:pPr>
  </w:style>
  <w:style w:type="paragraph" w:styleId="Sommario4">
    <w:name w:val="toc 4"/>
    <w:basedOn w:val="Normale"/>
    <w:next w:val="Normale"/>
    <w:autoRedefine/>
    <w:uiPriority w:val="99"/>
    <w:semiHidden/>
    <w:rsid w:val="006714FC"/>
    <w:pPr>
      <w:tabs>
        <w:tab w:val="right" w:leader="dot" w:pos="9017"/>
      </w:tabs>
      <w:spacing w:after="60"/>
      <w:ind w:left="1361" w:right="340" w:hanging="340"/>
    </w:pPr>
  </w:style>
  <w:style w:type="paragraph" w:styleId="Sommario5">
    <w:name w:val="toc 5"/>
    <w:basedOn w:val="Normale"/>
    <w:next w:val="Normale"/>
    <w:autoRedefine/>
    <w:uiPriority w:val="99"/>
    <w:semiHidden/>
    <w:rsid w:val="006714FC"/>
    <w:pPr>
      <w:spacing w:after="60"/>
      <w:ind w:left="1701" w:right="340" w:hanging="340"/>
    </w:pPr>
  </w:style>
  <w:style w:type="paragraph" w:styleId="Titolosommario">
    <w:name w:val="TOC Heading"/>
    <w:basedOn w:val="Titolo1"/>
    <w:next w:val="Normale"/>
    <w:uiPriority w:val="99"/>
    <w:semiHidden/>
    <w:qFormat/>
    <w:rsid w:val="006714FC"/>
    <w:pPr>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6714FC"/>
    <w:pPr>
      <w:spacing w:before="120"/>
    </w:pPr>
    <w:rPr>
      <w:rFonts w:asciiTheme="majorHAnsi" w:eastAsiaTheme="majorEastAsia" w:hAnsiTheme="majorHAnsi" w:cstheme="majorBidi"/>
      <w:b/>
      <w:bCs/>
      <w:color w:val="474747" w:themeColor="accent3" w:themeShade="BF"/>
      <w:szCs w:val="24"/>
    </w:rPr>
  </w:style>
  <w:style w:type="paragraph" w:customStyle="1" w:styleId="OpiH1">
    <w:name w:val="Opi_H_1"/>
    <w:basedOn w:val="ECHRHeading2"/>
    <w:uiPriority w:val="42"/>
    <w:semiHidden/>
    <w:qFormat/>
    <w:rsid w:val="006714FC"/>
    <w:pPr>
      <w:ind w:left="635" w:hanging="357"/>
      <w:outlineLvl w:val="2"/>
    </w:pPr>
  </w:style>
  <w:style w:type="paragraph" w:customStyle="1" w:styleId="OpiHa0">
    <w:name w:val="Opi_H_a"/>
    <w:basedOn w:val="ECHRHeading3"/>
    <w:uiPriority w:val="43"/>
    <w:semiHidden/>
    <w:qFormat/>
    <w:rsid w:val="006714FC"/>
    <w:pPr>
      <w:ind w:left="833" w:hanging="357"/>
      <w:outlineLvl w:val="3"/>
    </w:pPr>
    <w:rPr>
      <w:b/>
      <w:i w:val="0"/>
      <w:sz w:val="20"/>
    </w:rPr>
  </w:style>
  <w:style w:type="paragraph" w:styleId="Sottotitolo">
    <w:name w:val="Subtitle"/>
    <w:basedOn w:val="Normale"/>
    <w:next w:val="Normale"/>
    <w:link w:val="SottotitoloCarattere"/>
    <w:uiPriority w:val="99"/>
    <w:semiHidden/>
    <w:qFormat/>
    <w:rsid w:val="006714FC"/>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e"/>
    <w:link w:val="ECHRParaChar"/>
    <w:uiPriority w:val="12"/>
    <w:qFormat/>
    <w:rsid w:val="006714FC"/>
    <w:pPr>
      <w:ind w:firstLine="284"/>
    </w:pPr>
  </w:style>
  <w:style w:type="character" w:customStyle="1" w:styleId="SottotitoloCarattere">
    <w:name w:val="Sottotitolo Carattere"/>
    <w:basedOn w:val="Carpredefinitoparagrafo"/>
    <w:link w:val="Sottotitolo"/>
    <w:uiPriority w:val="99"/>
    <w:semiHidden/>
    <w:rsid w:val="006714FC"/>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3"/>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6714FC"/>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semiHidden/>
    <w:unhideWhenUsed/>
    <w:rsid w:val="006544C4"/>
    <w:pPr>
      <w:numPr>
        <w:numId w:val="4"/>
      </w:numPr>
    </w:pPr>
  </w:style>
  <w:style w:type="numbering" w:styleId="ArticoloSezione">
    <w:name w:val="Outline List 3"/>
    <w:basedOn w:val="Nessunelenco"/>
    <w:uiPriority w:val="99"/>
    <w:semiHidden/>
    <w:unhideWhenUsed/>
    <w:rsid w:val="006544C4"/>
    <w:pPr>
      <w:numPr>
        <w:numId w:val="5"/>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6714FC"/>
    <w:pPr>
      <w:tabs>
        <w:tab w:val="center" w:pos="851"/>
        <w:tab w:val="center" w:pos="6407"/>
      </w:tabs>
      <w:spacing w:before="720"/>
      <w:jc w:val="left"/>
    </w:pPr>
  </w:style>
  <w:style w:type="paragraph" w:customStyle="1" w:styleId="OpiHi">
    <w:name w:val="Opi_H_i"/>
    <w:basedOn w:val="ECHRHeading4"/>
    <w:uiPriority w:val="44"/>
    <w:semiHidden/>
    <w:qFormat/>
    <w:rsid w:val="006714FC"/>
    <w:pPr>
      <w:ind w:left="1037" w:hanging="357"/>
      <w:outlineLvl w:val="4"/>
    </w:pPr>
    <w:rPr>
      <w:b w:val="0"/>
      <w:i/>
    </w:rPr>
  </w:style>
  <w:style w:type="paragraph" w:customStyle="1" w:styleId="DecHTitle">
    <w:name w:val="Dec_H_Title"/>
    <w:basedOn w:val="ECHRTitleCentre1"/>
    <w:uiPriority w:val="7"/>
    <w:qFormat/>
    <w:rsid w:val="006714FC"/>
  </w:style>
  <w:style w:type="paragraph" w:styleId="Puntoelenco2">
    <w:name w:val="List Bullet 2"/>
    <w:basedOn w:val="Normale"/>
    <w:uiPriority w:val="99"/>
    <w:semiHidden/>
    <w:rsid w:val="006544C4"/>
    <w:pPr>
      <w:numPr>
        <w:numId w:val="1"/>
      </w:numPr>
      <w:contextualSpacing/>
    </w:pPr>
  </w:style>
  <w:style w:type="paragraph" w:styleId="Puntoelenco3">
    <w:name w:val="List Bullet 3"/>
    <w:basedOn w:val="Normale"/>
    <w:semiHidden/>
    <w:rsid w:val="006544C4"/>
    <w:pPr>
      <w:numPr>
        <w:numId w:val="2"/>
      </w:numPr>
      <w:contextualSpacing/>
    </w:pPr>
  </w:style>
  <w:style w:type="character" w:customStyle="1" w:styleId="CorpotestoCarattere">
    <w:name w:val="Corpo testo Carattere"/>
    <w:basedOn w:val="Carpredefinitoparagrafo"/>
    <w:link w:val="Corpotesto"/>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semiHidden/>
    <w:rsid w:val="006544C4"/>
    <w:rPr>
      <w:rFonts w:eastAsiaTheme="minorEastAsia"/>
      <w:sz w:val="24"/>
    </w:rPr>
  </w:style>
  <w:style w:type="paragraph" w:styleId="Rientrocorpodeltesto2">
    <w:name w:val="Body Text Indent 2"/>
    <w:basedOn w:val="Normale"/>
    <w:link w:val="Rientrocorpodeltesto2Carattere"/>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semiHidden/>
    <w:rsid w:val="006544C4"/>
    <w:rPr>
      <w:b/>
      <w:bCs/>
      <w:szCs w:val="20"/>
    </w:rPr>
  </w:style>
  <w:style w:type="character" w:customStyle="1" w:styleId="SoggettocommentoCarattere">
    <w:name w:val="Soggetto commento Carattere"/>
    <w:basedOn w:val="TestocommentoCarattere"/>
    <w:link w:val="Soggettocommento"/>
    <w:semiHidden/>
    <w:rsid w:val="006544C4"/>
    <w:rPr>
      <w:rFonts w:eastAsiaTheme="minorEastAsia"/>
      <w:b/>
      <w:bCs/>
      <w:sz w:val="20"/>
      <w:szCs w:val="20"/>
    </w:rPr>
  </w:style>
  <w:style w:type="table" w:styleId="Elencoscuro">
    <w:name w:val="Dark List"/>
    <w:basedOn w:val="Tabellanormale"/>
    <w:uiPriority w:val="99"/>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semiHidden/>
    <w:rsid w:val="006544C4"/>
    <w:rPr>
      <w:i/>
      <w:iCs/>
    </w:rPr>
  </w:style>
  <w:style w:type="character" w:customStyle="1" w:styleId="IndirizzoHTMLCarattere">
    <w:name w:val="Indirizzo HTML Carattere"/>
    <w:basedOn w:val="Carpredefinitoparagrafo"/>
    <w:link w:val="IndirizzoHTML"/>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semiHidden/>
    <w:rsid w:val="006544C4"/>
    <w:rPr>
      <w:rFonts w:asciiTheme="majorHAnsi" w:eastAsiaTheme="majorEastAsia" w:hAnsiTheme="majorHAnsi" w:cstheme="majorBidi"/>
      <w:b/>
      <w:bCs/>
    </w:rPr>
  </w:style>
  <w:style w:type="table" w:styleId="Grigliachiara">
    <w:name w:val="Light Grid"/>
    <w:basedOn w:val="Tabellanormale"/>
    <w:uiPriority w:val="99"/>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6"/>
      </w:numPr>
      <w:contextualSpacing/>
    </w:pPr>
  </w:style>
  <w:style w:type="paragraph" w:styleId="Puntoelenco4">
    <w:name w:val="List Bullet 4"/>
    <w:basedOn w:val="Normale"/>
    <w:uiPriority w:val="99"/>
    <w:semiHidden/>
    <w:rsid w:val="006544C4"/>
    <w:pPr>
      <w:numPr>
        <w:numId w:val="7"/>
      </w:numPr>
      <w:contextualSpacing/>
    </w:pPr>
  </w:style>
  <w:style w:type="paragraph" w:styleId="Puntoelenco5">
    <w:name w:val="List Bullet 5"/>
    <w:basedOn w:val="Normale"/>
    <w:semiHidden/>
    <w:rsid w:val="006544C4"/>
    <w:pPr>
      <w:numPr>
        <w:numId w:val="8"/>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semiHidden/>
    <w:rsid w:val="006544C4"/>
    <w:pPr>
      <w:numPr>
        <w:numId w:val="9"/>
      </w:numPr>
      <w:contextualSpacing/>
    </w:pPr>
  </w:style>
  <w:style w:type="paragraph" w:styleId="Numeroelenco2">
    <w:name w:val="List Number 2"/>
    <w:basedOn w:val="Normale"/>
    <w:uiPriority w:val="99"/>
    <w:semiHidden/>
    <w:rsid w:val="006544C4"/>
    <w:pPr>
      <w:numPr>
        <w:numId w:val="10"/>
      </w:numPr>
      <w:contextualSpacing/>
    </w:pPr>
  </w:style>
  <w:style w:type="paragraph" w:styleId="Numeroelenco3">
    <w:name w:val="List Number 3"/>
    <w:basedOn w:val="Normale"/>
    <w:semiHidden/>
    <w:rsid w:val="006544C4"/>
    <w:pPr>
      <w:numPr>
        <w:numId w:val="11"/>
      </w:numPr>
      <w:contextualSpacing/>
    </w:pPr>
  </w:style>
  <w:style w:type="paragraph" w:styleId="Numeroelenco4">
    <w:name w:val="List Number 4"/>
    <w:basedOn w:val="Normale"/>
    <w:uiPriority w:val="99"/>
    <w:semiHidden/>
    <w:rsid w:val="006544C4"/>
    <w:pPr>
      <w:numPr>
        <w:numId w:val="12"/>
      </w:numPr>
      <w:contextualSpacing/>
    </w:pPr>
  </w:style>
  <w:style w:type="paragraph" w:styleId="Numeroelenco5">
    <w:name w:val="List Number 5"/>
    <w:basedOn w:val="Normale"/>
    <w:semiHidden/>
    <w:rsid w:val="006544C4"/>
    <w:pPr>
      <w:numPr>
        <w:numId w:val="13"/>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6544C4"/>
    <w:rPr>
      <w:color w:val="808080"/>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6544C4"/>
    <w:pPr>
      <w:spacing w:after="100"/>
      <w:ind w:left="1200"/>
    </w:pPr>
  </w:style>
  <w:style w:type="paragraph" w:styleId="Sommario7">
    <w:name w:val="toc 7"/>
    <w:basedOn w:val="Normale"/>
    <w:next w:val="Normale"/>
    <w:autoRedefine/>
    <w:uiPriority w:val="99"/>
    <w:semiHidden/>
    <w:rsid w:val="006544C4"/>
    <w:pPr>
      <w:spacing w:after="100"/>
      <w:ind w:left="1440"/>
    </w:p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DummyStyle">
    <w:name w:val="Dummy_Style"/>
    <w:basedOn w:val="Normale"/>
    <w:semiHidden/>
    <w:qFormat/>
    <w:rsid w:val="006714FC"/>
    <w:rPr>
      <w:color w:val="00B050"/>
      <w:lang w:bidi="en-US"/>
    </w:rPr>
  </w:style>
  <w:style w:type="paragraph" w:customStyle="1" w:styleId="ECHRFooter">
    <w:name w:val="ECHR_Footer"/>
    <w:aliases w:val="Footer_ECHR"/>
    <w:basedOn w:val="Pidipagina"/>
    <w:uiPriority w:val="57"/>
    <w:semiHidden/>
    <w:rsid w:val="006714FC"/>
    <w:pPr>
      <w:jc w:val="left"/>
    </w:pPr>
    <w:rPr>
      <w:sz w:val="8"/>
    </w:rPr>
  </w:style>
  <w:style w:type="paragraph" w:customStyle="1" w:styleId="ECHRFooterLine">
    <w:name w:val="ECHR_Footer_Line"/>
    <w:aliases w:val="Footer_Line"/>
    <w:basedOn w:val="Normale"/>
    <w:next w:val="ECHRFooter"/>
    <w:uiPriority w:val="57"/>
    <w:semiHidden/>
    <w:rsid w:val="006714FC"/>
    <w:pPr>
      <w:pBdr>
        <w:top w:val="single" w:sz="6" w:space="1" w:color="5F5F5F"/>
      </w:pBdr>
      <w:tabs>
        <w:tab w:val="center" w:pos="4536"/>
        <w:tab w:val="right" w:pos="9696"/>
      </w:tabs>
      <w:ind w:left="-680" w:right="-680"/>
      <w:jc w:val="left"/>
    </w:pPr>
    <w:rPr>
      <w:color w:val="5F5F5F"/>
    </w:rPr>
  </w:style>
  <w:style w:type="character" w:customStyle="1" w:styleId="ECHRParaChar">
    <w:name w:val="ECHR_Para Char"/>
    <w:aliases w:val="Ju_Para Char"/>
    <w:basedOn w:val="Carpredefinitoparagrafo"/>
    <w:link w:val="ECHRPara"/>
    <w:uiPriority w:val="12"/>
    <w:rsid w:val="003242D3"/>
    <w:rPr>
      <w:rFonts w:eastAsiaTheme="minorEastAsia"/>
      <w:sz w:val="24"/>
    </w:rPr>
  </w:style>
  <w:style w:type="character" w:customStyle="1" w:styleId="column01">
    <w:name w:val="column01"/>
    <w:rsid w:val="003242D3"/>
  </w:style>
  <w:style w:type="character" w:customStyle="1" w:styleId="JuParaSubChar">
    <w:name w:val="Ju_Para_Sub Char"/>
    <w:basedOn w:val="ECHRParaChar"/>
    <w:link w:val="JuParaSub"/>
    <w:uiPriority w:val="13"/>
    <w:rsid w:val="003242D3"/>
    <w:rPr>
      <w:rFonts w:eastAsiaTheme="minorEastAsia"/>
      <w:sz w:val="24"/>
    </w:rPr>
  </w:style>
  <w:style w:type="character" w:customStyle="1" w:styleId="wordhighlighted">
    <w:name w:val="wordhighlighted"/>
    <w:basedOn w:val="Carpredefinitoparagrafo"/>
    <w:rsid w:val="00324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A8A4F-EE4B-45A0-8199-98A34993C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5822F4-2B36-4E53-BBF5-66F81E009AE1}">
  <ds:schemaRefs>
    <ds:schemaRef ds:uri="http://schemas.microsoft.com/sharepoint/v3/contenttype/forms"/>
  </ds:schemaRefs>
</ds:datastoreItem>
</file>

<file path=customXml/itemProps3.xml><?xml version="1.0" encoding="utf-8"?>
<ds:datastoreItem xmlns:ds="http://schemas.openxmlformats.org/officeDocument/2006/customXml" ds:itemID="{C5C8BC98-A169-4BA2-9E65-42AF606196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64D817-DC11-4528-B10C-C1D2E2451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4477</Words>
  <Characters>25523</Characters>
  <Application>Microsoft Office Word</Application>
  <DocSecurity>0</DocSecurity>
  <Lines>212</Lines>
  <Paragraphs>59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29941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2016-01-20T11:58:00Z</dcterms:created>
  <dcterms:modified xsi:type="dcterms:W3CDTF">2016-01-20T11:58:00Z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63426/13</vt:lpwstr>
  </property>
  <property fmtid="{D5CDD505-2E9C-101B-9397-08002B2CF9AE}" pid="4" name="CASEID">
    <vt:lpwstr>914171</vt:lpwstr>
  </property>
  <property fmtid="{D5CDD505-2E9C-101B-9397-08002B2CF9AE}" pid="5" name="OrigTemp">
    <vt:lpwstr>French\Documents\DF01 Decisions et Rapports\Reports automation IT ONLY\Décision.dotx</vt:lpwstr>
  </property>
  <property fmtid="{D5CDD505-2E9C-101B-9397-08002B2CF9AE}" pid="6" name="ContentTypeId">
    <vt:lpwstr>0x010100558EB02BDB9E204AB350EDD385B68E10</vt:lpwstr>
  </property>
</Properties>
</file>